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E400" w14:textId="77777777" w:rsidR="002747DF" w:rsidRDefault="002747DF" w:rsidP="002747DF">
      <w:pPr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0A3A9F1" w14:textId="77777777" w:rsidR="002747DF" w:rsidRDefault="002747DF" w:rsidP="002747DF">
      <w:pPr>
        <w:widowControl/>
        <w:adjustRightInd w:val="0"/>
        <w:spacing w:line="56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color w:val="000000" w:themeColor="text1"/>
          <w:kern w:val="0"/>
          <w:sz w:val="44"/>
          <w:szCs w:val="44"/>
          <w:lang w:val="zh-CN"/>
        </w:rPr>
        <w:t>安徽农业工程职业技术学院（筹）财务</w:t>
      </w:r>
    </w:p>
    <w:p w14:paraId="31BB6981" w14:textId="77777777" w:rsidR="002747DF" w:rsidRDefault="002747DF" w:rsidP="002747DF">
      <w:pPr>
        <w:widowControl/>
        <w:adjustRightInd w:val="0"/>
        <w:spacing w:line="56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color w:val="000000" w:themeColor="text1"/>
          <w:kern w:val="0"/>
          <w:sz w:val="44"/>
          <w:szCs w:val="44"/>
          <w:lang w:val="zh-CN"/>
        </w:rPr>
        <w:t>管理办法</w:t>
      </w:r>
    </w:p>
    <w:p w14:paraId="7DCB435D" w14:textId="77777777" w:rsidR="002747DF" w:rsidRDefault="002747DF" w:rsidP="002747DF">
      <w:pPr>
        <w:widowControl/>
        <w:adjustRightIn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  <w:lang w:val="zh-CN"/>
        </w:rPr>
      </w:pPr>
    </w:p>
    <w:p w14:paraId="79E44E41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第一条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 xml:space="preserve"> 为加强学院财务管理，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健全内部控制制度，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 xml:space="preserve">规范财务行为，提高资金使用效益，促进学院教育事业持续健康发展，根据国家和省有关规定，结合学院实际，制定本办法。 </w:t>
      </w:r>
    </w:p>
    <w:p w14:paraId="469AFD0A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第二条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本办法适用于</w:t>
      </w:r>
      <w:bookmarkStart w:id="0" w:name="_Hlk72155458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生物学校和电气学校的各项经济活动。</w:t>
      </w:r>
    </w:p>
    <w:bookmarkEnd w:id="0"/>
    <w:p w14:paraId="42EA31FD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第三条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经费预算管理。贯彻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量入为出、收支平衡、积极稳妥、统筹兼顾、保证重点、厉行节约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的原则，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学院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各项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事业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活动所发生的财务收支纳入预算管理范围。</w:t>
      </w:r>
    </w:p>
    <w:p w14:paraId="2D8C8A15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第四条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财务处参考以前年度预算执行、结转和结余情况，根据预算年度事业发展目标、计划 ，以及年度收支增减因素和措施，按照预算编制的规定编制预算。</w:t>
      </w:r>
    </w:p>
    <w:p w14:paraId="039A12F0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第五条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按预算编制要求及时编制预算，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经学院审议通过后，上报省农业农村厅，经省农业农村厅审核汇总报省财政厅。学院根据省财政厅下达的预算控制数编制预算，经法定程序审定批复后执行。</w:t>
      </w:r>
    </w:p>
    <w:p w14:paraId="48D5235B" w14:textId="77777777" w:rsidR="002747DF" w:rsidRDefault="002747DF" w:rsidP="002747DF">
      <w:pPr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第六条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严格执行批准的预算。批准的年度预算对学院财务收支活动具有法律约束力，必须严格执行，自觉维护预算的严肃性。</w:t>
      </w:r>
    </w:p>
    <w:p w14:paraId="33BA2D4E" w14:textId="77777777" w:rsidR="002747DF" w:rsidRDefault="002747DF" w:rsidP="002747DF">
      <w:pPr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第七条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预决算信息公开。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学院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预决算及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三公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经费预决算情况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及时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向社会公开，预决算公开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按财政厅规定执行。</w:t>
      </w:r>
    </w:p>
    <w:p w14:paraId="0868DB9C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lastRenderedPageBreak/>
        <w:t xml:space="preserve">第八条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预算资金绩效管理。按照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谁申请资金，谁设定目标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的原则设定绩效目标和绩效指标。根据设定的绩效目标开展绩效监控和绩效评价。</w:t>
      </w:r>
    </w:p>
    <w:p w14:paraId="39BDB415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第九条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非税收入管理。严格执行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收支两条线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有关规定，收入应及时足额上缴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财政专户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或国库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，支出纳入单位预算管理。严禁设置账外账和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小金库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。任何部门和个人不得私自购买、代开、转借和销毁票据，不得自立收费项目或自制收费票据。</w:t>
      </w:r>
    </w:p>
    <w:p w14:paraId="3DB25D40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经费审批权限。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筹建办主任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主管学校的各项财务工作，实行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主任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负责制。重大事项、大额支出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按相关规定程序、方式执行。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2000元以下（不含2000元）的经费支出和借款，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由处室系部负责人审批；2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000元以上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1万元以下（不含1万元）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的经费支出和借款，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由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  <w:lang w:val="zh-CN"/>
        </w:rPr>
        <w:t>分管筹建办副主任审批；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万元以上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5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万元以下（不含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5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万元）的经费支出和借款，由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  <w:lang w:val="zh-CN"/>
        </w:rPr>
        <w:t>分管筹建办副主任商分管财务筹建办副主任审批；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5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万元以上的经费支出和借款，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由学院筹建办主任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办公会研究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批准（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职工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工资、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住房公积金、社会保障费、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水电费、网络通信及其他有学院制度规定的相对固定的</w:t>
      </w:r>
      <w:r>
        <w:rPr>
          <w:rFonts w:ascii="Arial" w:eastAsia="仿宋_GB2312" w:hAnsi="Arial" w:cs="Arial" w:hint="eastAsia"/>
          <w:color w:val="000000" w:themeColor="text1"/>
          <w:kern w:val="0"/>
          <w:sz w:val="32"/>
          <w:szCs w:val="32"/>
        </w:rPr>
        <w:t>经费支出和借款除外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，筹建办主任审批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。</w:t>
      </w:r>
    </w:p>
    <w:p w14:paraId="7EB02EFF" w14:textId="77777777" w:rsidR="002747DF" w:rsidRDefault="002747DF" w:rsidP="002747DF">
      <w:pPr>
        <w:widowControl/>
        <w:adjustRightInd w:val="0"/>
        <w:spacing w:line="560" w:lineRule="exact"/>
        <w:ind w:firstLineChars="200" w:firstLine="640"/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经费支出原则：经费支出与经费来源渠道相对应；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2000元以下（不含2000元）的经费支出和借款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在财务行为产生校区的会计室履行相关财务手续；需要进行调剂的经费支出由筹建办主任根据账户资金状况做出决定。</w:t>
      </w:r>
    </w:p>
    <w:p w14:paraId="4807E92B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第十一条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经费支出管理。经费支出必须严格按照年度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lastRenderedPageBreak/>
        <w:t>预算及财政规定的开支范围和标准执行，不得无预算或超预算安排开支。财务报销必须取得财政或税务部门监制的发票、收据等合法票据，填制清楚，名称、数量、单价、金额填写规范准确，附有相关文件、会议纪要、经济合同、经费申请报告、验收凭证等，经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人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及相关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审核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人员对发票和所附的有关资料真实性、合法性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、完整性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负责。</w:t>
      </w:r>
    </w:p>
    <w:p w14:paraId="7288EC43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第十二条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经费结算管理。严格按照国库集中支付制度、《安徽省省级预算单位公务卡使用管理暂行办法》（财库〔2014〕7号）等规定办理支付手续。公务卡由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统一向发卡银行申请，办理范围为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学校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在编在岗职工。除按规定实行财政直接支付或银行转账外，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其他一律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使用公务卡结算。职工退休或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调离学校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，在费用结清后，由本人办理公务卡销户。</w:t>
      </w:r>
    </w:p>
    <w:p w14:paraId="09DCB7C9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val="zh-CN"/>
        </w:rPr>
        <w:t xml:space="preserve">第十三条 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办公用品费。购买办公用品，由各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处室系部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每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学期第一个月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内提交申请，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院办公室汇总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  <w:t>履行审批程序后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  <w:t>通过徽采商城采购，报销时发票后应附明细清单，注明具体名称、数量、单价等。</w:t>
      </w:r>
    </w:p>
    <w:p w14:paraId="73834DCB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val="zh-CN"/>
        </w:rPr>
        <w:t xml:space="preserve">第十四条 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固定资产购置费。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固定资产购置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按照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省财政厅颁布实施的国有资产管理的相关规定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执行。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  <w:t>办公设备由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  <w:t>统一采购，按规定程序领用。办公家具由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后勤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  <w:lang w:val="zh-CN"/>
        </w:rPr>
        <w:t>处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  <w:lang w:val="zh-CN"/>
        </w:rPr>
        <w:t>履行审批程序后，根据规定的配置标准采购。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教学设备由教务处负责组织采购。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对纳入政府集中采购的资产，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向财政部门申报采购计划，实施政府采购；对非集中采购的，按经批</w:t>
      </w: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lastRenderedPageBreak/>
        <w:t>准的购置经费计划，从徽采商城采购或以公开竞价、议价等方式采购。</w:t>
      </w:r>
    </w:p>
    <w:p w14:paraId="0F4C524B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第十五条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报刊费。报刊杂志征订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根据农业农村厅有关规定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由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办公室负责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征订。</w:t>
      </w:r>
    </w:p>
    <w:p w14:paraId="7DFDD04C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第十六条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差旅费。差旅费开支范围、标准，严格按照省政府办公厅、省财政厅、省机关事务管理局等相关规定执行。因公出差，事前应填写《出差审批单》，按规定履行审批手续。严禁无实质内容、无明确公务目的差旅活动，严禁以任何名义和方式变相旅游，严禁异地部门间无实质内容的学习交流和考察调研。</w:t>
      </w:r>
    </w:p>
    <w:p w14:paraId="0D2CF7A3" w14:textId="77777777" w:rsidR="002747DF" w:rsidRDefault="002747DF" w:rsidP="002747DF">
      <w:pPr>
        <w:adjustRightInd w:val="0"/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出差人员应当严格执行差旅费开支标准，严禁超标准、超范围支出。由接待单位统一安排就餐的，应当向接待单位交纳伙食费；由接待单位提供交通工具的，应当向接待单位交纳市内交通费。交通费、住宿费等一律实行公务卡结算。</w:t>
      </w:r>
    </w:p>
    <w:p w14:paraId="1124DDCB" w14:textId="77777777" w:rsidR="002747DF" w:rsidRDefault="002747DF" w:rsidP="002747DF">
      <w:pPr>
        <w:adjustRightInd w:val="0"/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租赁社会化车辆的，按照《厅机关公务活动社会化车辆租赁审批及费用结算的通知》（皖农财行〔2017〕51号）规定执行，租车费连同差旅费一起报销。</w:t>
      </w:r>
    </w:p>
    <w:p w14:paraId="4E5D635A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第十七条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公务用车运行维护费。公务用车的配备及运行维护严格按照中共中央办公厅 国务院办公厅《党政机关公务用车管理办法》和安徽省财政厅《关于公务用车定点大修有关问题的通知》（财行〔2012〕470号）等规定执行。车辆加油实行加油卡管理制度。车辆加油、维修、保险，一律在省财政厅定点单位进行。</w:t>
      </w:r>
    </w:p>
    <w:p w14:paraId="6FB94CC8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lastRenderedPageBreak/>
        <w:t xml:space="preserve">第十八条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因公出国（境）、赴台。按照《安徽省财政厅 安徽省人民政府外事办公室关于印发〈安徽省省直党政机关因公临时出国经费管理办法〉的通知》（财行〔2014〕104号）、《财政部 外交部关于调整因公临时出国住宿费标准等有关事项的通知》（财行〔2017〕434号）等规定执行。</w:t>
      </w:r>
    </w:p>
    <w:p w14:paraId="32C393BC" w14:textId="77777777" w:rsidR="002747DF" w:rsidRDefault="002747DF" w:rsidP="002747DF">
      <w:pPr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第十九条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公务接待费。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学院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公务接待严格按照《安徽省党政机关国内公务接待管理办法》（皖办发〔2014〕24号）和《安徽省省直机关公务接待费管理暂行办法》（财行〔2014〕2066号）、《安徽省财政厅关于进一步加强公务接待经费管理的通知》（财行〔2015〕171号）、《安徽省财政厅关于调整省直机关公务接待费用餐标准的通知》（财行〔2018〕1096号）等规定执行。公务接待费报销严格实行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四单合一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制度。公务接待活动结束后，承办单位凭派出单位公函、接待审批单、消费清单（桌餐应附菜单）、票据等及时报销费用。</w:t>
      </w:r>
    </w:p>
    <w:p w14:paraId="14076F89" w14:textId="77777777" w:rsidR="002747DF" w:rsidRDefault="002747DF" w:rsidP="002747DF">
      <w:pPr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第二十条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福利费等。按政策规定发放的津贴奖金、劳保、抚恤金等，由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人事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负责人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审核后按资金供给渠道核发。丧葬费开支标准为2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00元，实行总额包干、超支不补。医药费按有关规定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发放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。</w:t>
      </w:r>
    </w:p>
    <w:p w14:paraId="7C4EA53F" w14:textId="77777777" w:rsidR="002747DF" w:rsidRDefault="002747DF" w:rsidP="002747DF">
      <w:pPr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第二十一条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职工培训费。在职人员培训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根据上级有关部门和学院相关规定，经相关负责人同意后实施。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未经单位安排的培训费用不予报销。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培训费用结算报销时，需附通知文件、培训总结及其他凭证。</w:t>
      </w:r>
    </w:p>
    <w:p w14:paraId="702650DA" w14:textId="77777777" w:rsidR="002747DF" w:rsidRDefault="002747DF" w:rsidP="002747DF">
      <w:pPr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第二十二条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邮电、水电费。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邮电费由院办公室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据实结算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lastRenderedPageBreak/>
        <w:t>报销。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水电费由总务处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 xml:space="preserve">据实结算报销。 </w:t>
      </w:r>
    </w:p>
    <w:p w14:paraId="08F8BBDA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第二十三条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职工借款。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职工因公借款需在工作事项完成后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15日内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办理报账、还款手续。前账不清、后账不借。</w:t>
      </w:r>
    </w:p>
    <w:p w14:paraId="494B4906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第二十四条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“物业管理费用”“市内交通费”“教学工作绩效（课时津贴）”“班主任工作绩效（班主任津贴）”“行政工作绩效（考勤津贴）”“培训工作绩效”“招生工作绩效”“技能大赛奖励”“班级、学生会、学生教官及团委有关经费开支”等费用支出，根据学院实施的相关制度执行。</w:t>
      </w:r>
    </w:p>
    <w:p w14:paraId="683D592C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第二十五条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资产管理。执行《安徽农业工程职业技术学院（筹）国有资产管理办法》。</w:t>
      </w:r>
    </w:p>
    <w:p w14:paraId="1492DFB4" w14:textId="77777777" w:rsidR="002747DF" w:rsidRDefault="002747DF" w:rsidP="002747DF">
      <w:pPr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 xml:space="preserve">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决算管理。及时编制年度决算表，经学院审议通过后，上报省农业农村厅，经省农业农村厅审核汇总报省财政厅。开展财务分析，对全年收支情况，预算执行情况进行分析，为加强财务管理和提供预算编制依据打好基础。</w:t>
      </w:r>
    </w:p>
    <w:p w14:paraId="619CB363" w14:textId="77777777" w:rsidR="002747DF" w:rsidRDefault="002747DF" w:rsidP="002747DF">
      <w:pPr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七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条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财务监督。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财务处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每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将经费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收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支情况向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院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领导报告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、工作例会通报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积极推进财务公开，自觉接受师生员工的监督。</w:t>
      </w:r>
    </w:p>
    <w:p w14:paraId="539AC33E" w14:textId="77777777" w:rsidR="002747DF" w:rsidRDefault="002747DF" w:rsidP="002747DF">
      <w:pPr>
        <w:widowControl/>
        <w:adjustRightInd w:val="0"/>
        <w:spacing w:line="56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八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 xml:space="preserve"> 学院应依法接受省农业农村厅、财政厅和审计厅、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zh-CN"/>
        </w:rPr>
        <w:t>纪检等部门的监督检查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lang w:val="zh-CN"/>
        </w:rPr>
        <w:t>。</w:t>
      </w:r>
    </w:p>
    <w:p w14:paraId="3902B2DF" w14:textId="7340F909" w:rsidR="0094665E" w:rsidRDefault="002747DF" w:rsidP="002747DF"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第二十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九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lang w:val="zh-CN"/>
        </w:rPr>
        <w:t>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本办法自印发之日起执行，原生物学校和电气学校的财务管理办法同时停止执行。</w:t>
      </w:r>
    </w:p>
    <w:sectPr w:rsidR="0094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5539" w14:textId="77777777" w:rsidR="009F0F45" w:rsidRDefault="009F0F45" w:rsidP="002747DF">
      <w:r>
        <w:separator/>
      </w:r>
    </w:p>
  </w:endnote>
  <w:endnote w:type="continuationSeparator" w:id="0">
    <w:p w14:paraId="5A662A43" w14:textId="77777777" w:rsidR="009F0F45" w:rsidRDefault="009F0F45" w:rsidP="002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BF2C" w14:textId="77777777" w:rsidR="009F0F45" w:rsidRDefault="009F0F45" w:rsidP="002747DF">
      <w:r>
        <w:separator/>
      </w:r>
    </w:p>
  </w:footnote>
  <w:footnote w:type="continuationSeparator" w:id="0">
    <w:p w14:paraId="6D57C201" w14:textId="77777777" w:rsidR="009F0F45" w:rsidRDefault="009F0F45" w:rsidP="002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E"/>
    <w:rsid w:val="002747DF"/>
    <w:rsid w:val="0094665E"/>
    <w:rsid w:val="009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96543-12A5-462E-BFC5-FA89127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DF"/>
    <w:pPr>
      <w:widowControl w:val="0"/>
      <w:jc w:val="both"/>
    </w:pPr>
    <w:rPr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  <w:lang w:bidi="mn-Mong-CN"/>
    </w:rPr>
  </w:style>
  <w:style w:type="character" w:customStyle="1" w:styleId="a4">
    <w:name w:val="页眉 字符"/>
    <w:basedOn w:val="a0"/>
    <w:link w:val="a3"/>
    <w:uiPriority w:val="99"/>
    <w:rsid w:val="002747DF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2747DF"/>
    <w:pPr>
      <w:tabs>
        <w:tab w:val="center" w:pos="4153"/>
        <w:tab w:val="right" w:pos="8306"/>
      </w:tabs>
      <w:snapToGrid w:val="0"/>
      <w:jc w:val="left"/>
    </w:pPr>
    <w:rPr>
      <w:sz w:val="18"/>
      <w:szCs w:val="22"/>
      <w:lang w:bidi="mn-Mong-CN"/>
    </w:rPr>
  </w:style>
  <w:style w:type="character" w:customStyle="1" w:styleId="a6">
    <w:name w:val="页脚 字符"/>
    <w:basedOn w:val="a0"/>
    <w:link w:val="a5"/>
    <w:uiPriority w:val="99"/>
    <w:rsid w:val="002747DF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leo</dc:creator>
  <cp:keywords/>
  <dc:description/>
  <cp:lastModifiedBy>blue leo</cp:lastModifiedBy>
  <cp:revision>2</cp:revision>
  <dcterms:created xsi:type="dcterms:W3CDTF">2021-11-12T08:14:00Z</dcterms:created>
  <dcterms:modified xsi:type="dcterms:W3CDTF">2021-11-12T08:15:00Z</dcterms:modified>
</cp:coreProperties>
</file>