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AF" w:rsidRDefault="006B35AF">
      <w:pPr>
        <w:adjustRightInd w:val="0"/>
        <w:snapToGrid w:val="0"/>
        <w:spacing w:line="360" w:lineRule="auto"/>
        <w:jc w:val="center"/>
        <w:rPr>
          <w:rFonts w:ascii="Times New Roman" w:eastAsia="黑体" w:hAnsi="Times New Roman" w:cs="Times New Roman"/>
          <w:sz w:val="32"/>
          <w:szCs w:val="32"/>
        </w:rPr>
      </w:pPr>
    </w:p>
    <w:p w:rsidR="006B35AF" w:rsidRDefault="006B35AF">
      <w:pPr>
        <w:adjustRightInd w:val="0"/>
        <w:snapToGrid w:val="0"/>
        <w:spacing w:line="360" w:lineRule="auto"/>
        <w:jc w:val="center"/>
        <w:rPr>
          <w:rFonts w:ascii="Times New Roman" w:hAnsi="Times New Roman" w:cs="Times New Roman"/>
          <w:b/>
          <w:sz w:val="44"/>
          <w:szCs w:val="44"/>
          <w:u w:val="single"/>
        </w:rPr>
      </w:pPr>
    </w:p>
    <w:p w:rsidR="006B35AF" w:rsidRDefault="00570D47">
      <w:pPr>
        <w:jc w:val="center"/>
        <w:rPr>
          <w:rFonts w:ascii="Times New Roman" w:eastAsia="华文中宋" w:hAnsi="Times New Roman" w:cs="Times New Roman"/>
          <w:b/>
          <w:sz w:val="44"/>
          <w:szCs w:val="44"/>
        </w:rPr>
      </w:pPr>
      <w:r>
        <w:rPr>
          <w:rFonts w:ascii="Times New Roman" w:eastAsia="华文中宋" w:hAnsi="华文中宋" w:cs="Times New Roman"/>
          <w:b/>
          <w:sz w:val="44"/>
          <w:szCs w:val="44"/>
        </w:rPr>
        <w:t>安徽生物工程学校</w:t>
      </w:r>
      <w:r>
        <w:rPr>
          <w:rFonts w:ascii="Times New Roman" w:eastAsia="华文中宋" w:hAnsi="Times New Roman" w:cs="Times New Roman"/>
          <w:b/>
          <w:sz w:val="44"/>
          <w:szCs w:val="44"/>
        </w:rPr>
        <w:t>2023</w:t>
      </w:r>
      <w:r>
        <w:rPr>
          <w:rFonts w:ascii="Times New Roman" w:eastAsia="华文中宋" w:hAnsi="Times New Roman" w:cs="Times New Roman"/>
          <w:b/>
          <w:sz w:val="44"/>
          <w:szCs w:val="44"/>
        </w:rPr>
        <w:t>年</w:t>
      </w:r>
      <w:r>
        <w:rPr>
          <w:rFonts w:ascii="Times New Roman" w:eastAsia="华文中宋" w:hAnsi="华文中宋" w:cs="Times New Roman"/>
          <w:b/>
          <w:sz w:val="44"/>
          <w:szCs w:val="44"/>
        </w:rPr>
        <w:t>单位预算</w:t>
      </w:r>
    </w:p>
    <w:p w:rsidR="006B35AF" w:rsidRDefault="006B35AF">
      <w:pPr>
        <w:jc w:val="center"/>
        <w:rPr>
          <w:rFonts w:ascii="Times New Roman" w:eastAsia="华文中宋" w:hAnsi="Times New Roman" w:cs="Times New Roman"/>
          <w:b/>
          <w:sz w:val="44"/>
          <w:szCs w:val="44"/>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360" w:lineRule="auto"/>
        <w:jc w:val="center"/>
        <w:rPr>
          <w:rFonts w:ascii="Times New Roman" w:eastAsia="黑体" w:hAnsi="Times New Roman" w:cs="Times New Roman"/>
          <w:bCs/>
          <w:sz w:val="36"/>
          <w:szCs w:val="36"/>
        </w:rPr>
      </w:pPr>
    </w:p>
    <w:p w:rsidR="006B35AF" w:rsidRDefault="00570D47">
      <w:pPr>
        <w:pStyle w:val="a6"/>
        <w:adjustRightInd w:val="0"/>
        <w:snapToGrid w:val="0"/>
        <w:spacing w:before="0" w:beforeAutospacing="0" w:after="0" w:afterAutospacing="0" w:line="360" w:lineRule="auto"/>
        <w:jc w:val="center"/>
        <w:rPr>
          <w:rFonts w:ascii="Times New Roman" w:eastAsia="黑体" w:hAnsi="Times New Roman" w:cs="Times New Roman"/>
          <w:bCs/>
          <w:sz w:val="44"/>
          <w:szCs w:val="44"/>
        </w:rPr>
      </w:pPr>
      <w:r>
        <w:rPr>
          <w:rFonts w:ascii="Times New Roman" w:eastAsia="黑体" w:hAnsi="Times New Roman" w:cs="Times New Roman"/>
          <w:bCs/>
          <w:sz w:val="44"/>
          <w:szCs w:val="44"/>
        </w:rPr>
        <w:t>2023</w:t>
      </w:r>
      <w:r>
        <w:rPr>
          <w:rFonts w:ascii="Times New Roman" w:eastAsia="黑体" w:hAnsi="Times New Roman" w:cs="Times New Roman"/>
          <w:bCs/>
          <w:sz w:val="44"/>
          <w:szCs w:val="44"/>
        </w:rPr>
        <w:t>年</w:t>
      </w:r>
      <w:r>
        <w:rPr>
          <w:rFonts w:ascii="Times New Roman" w:eastAsia="黑体" w:hAnsi="Times New Roman" w:cs="Times New Roman"/>
          <w:bCs/>
          <w:sz w:val="44"/>
          <w:szCs w:val="44"/>
        </w:rPr>
        <w:t>3</w:t>
      </w:r>
      <w:r>
        <w:rPr>
          <w:rFonts w:ascii="Times New Roman" w:eastAsia="黑体" w:hAnsi="黑体" w:cs="Times New Roman"/>
          <w:bCs/>
          <w:sz w:val="44"/>
          <w:szCs w:val="44"/>
        </w:rPr>
        <w:t>月</w:t>
      </w:r>
    </w:p>
    <w:p w:rsidR="006B35AF" w:rsidRDefault="006B35AF">
      <w:pPr>
        <w:pStyle w:val="a6"/>
        <w:adjustRightInd w:val="0"/>
        <w:snapToGrid w:val="0"/>
        <w:spacing w:before="0" w:beforeAutospacing="0" w:after="0" w:afterAutospacing="0" w:line="500" w:lineRule="exact"/>
        <w:jc w:val="center"/>
        <w:rPr>
          <w:rFonts w:ascii="Times New Roman" w:eastAsia="黑体" w:hAnsi="Times New Roman" w:cs="Times New Roman"/>
          <w:bCs/>
          <w:sz w:val="44"/>
          <w:szCs w:val="44"/>
        </w:rPr>
      </w:pPr>
    </w:p>
    <w:p w:rsidR="006B35AF" w:rsidRDefault="006B35AF">
      <w:pPr>
        <w:pStyle w:val="a6"/>
        <w:adjustRightInd w:val="0"/>
        <w:snapToGrid w:val="0"/>
        <w:spacing w:before="0" w:beforeAutospacing="0" w:after="0" w:afterAutospacing="0" w:line="500" w:lineRule="exact"/>
        <w:jc w:val="center"/>
        <w:rPr>
          <w:rFonts w:ascii="Times New Roman" w:eastAsia="黑体" w:hAnsi="Times New Roman" w:cs="Times New Roman"/>
          <w:bCs/>
          <w:sz w:val="44"/>
          <w:szCs w:val="44"/>
        </w:rPr>
      </w:pPr>
    </w:p>
    <w:p w:rsidR="006B35AF" w:rsidRDefault="006B35AF">
      <w:pPr>
        <w:pStyle w:val="a6"/>
        <w:adjustRightInd w:val="0"/>
        <w:snapToGrid w:val="0"/>
        <w:spacing w:before="0" w:beforeAutospacing="0" w:after="0" w:afterAutospacing="0" w:line="500" w:lineRule="exact"/>
        <w:jc w:val="center"/>
        <w:rPr>
          <w:rFonts w:ascii="Times New Roman" w:eastAsia="黑体" w:hAnsi="Times New Roman" w:cs="Times New Roman"/>
          <w:bCs/>
          <w:sz w:val="44"/>
          <w:szCs w:val="44"/>
        </w:rPr>
      </w:pPr>
    </w:p>
    <w:p w:rsidR="006B35AF" w:rsidRDefault="00570D47">
      <w:pPr>
        <w:pStyle w:val="a6"/>
        <w:adjustRightInd w:val="0"/>
        <w:snapToGrid w:val="0"/>
        <w:spacing w:before="0" w:beforeAutospacing="0" w:after="0" w:afterAutospacing="0" w:line="600" w:lineRule="exact"/>
        <w:jc w:val="center"/>
        <w:rPr>
          <w:rFonts w:ascii="Times New Roman" w:eastAsia="黑体" w:hAnsi="Times New Roman" w:cs="Times New Roman"/>
          <w:bCs/>
          <w:sz w:val="44"/>
          <w:szCs w:val="44"/>
        </w:rPr>
      </w:pPr>
      <w:r>
        <w:rPr>
          <w:rFonts w:ascii="Times New Roman" w:eastAsia="黑体" w:hAnsi="黑体" w:cs="Times New Roman"/>
          <w:bCs/>
          <w:sz w:val="44"/>
          <w:szCs w:val="44"/>
        </w:rPr>
        <w:lastRenderedPageBreak/>
        <w:t>目</w:t>
      </w:r>
      <w:r>
        <w:rPr>
          <w:rFonts w:ascii="Times New Roman" w:eastAsia="黑体" w:hAnsi="Times New Roman" w:cs="Times New Roman"/>
          <w:bCs/>
          <w:sz w:val="44"/>
          <w:szCs w:val="44"/>
        </w:rPr>
        <w:t xml:space="preserve"> </w:t>
      </w:r>
      <w:r>
        <w:rPr>
          <w:rFonts w:ascii="Times New Roman" w:eastAsia="黑体" w:hAnsi="黑体" w:cs="Times New Roman"/>
          <w:bCs/>
          <w:sz w:val="44"/>
          <w:szCs w:val="44"/>
        </w:rPr>
        <w:t>录</w:t>
      </w:r>
    </w:p>
    <w:p w:rsidR="006B35AF" w:rsidRDefault="006B35AF" w:rsidP="00FA2640">
      <w:pPr>
        <w:pStyle w:val="a6"/>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p>
    <w:p w:rsidR="006B35AF" w:rsidRDefault="00570D47" w:rsidP="00FA2640">
      <w:pPr>
        <w:pStyle w:val="a6"/>
        <w:adjustRightInd w:val="0"/>
        <w:snapToGrid w:val="0"/>
        <w:spacing w:before="0" w:beforeAutospacing="0" w:after="0" w:afterAutospacing="0" w:line="600" w:lineRule="exact"/>
        <w:ind w:firstLineChars="200" w:firstLine="643"/>
        <w:jc w:val="both"/>
        <w:rPr>
          <w:rFonts w:ascii="Times New Roman" w:eastAsia="仿宋_GB2312" w:hAnsi="Times New Roman" w:cs="Times New Roman"/>
          <w:b/>
          <w:sz w:val="32"/>
          <w:szCs w:val="32"/>
        </w:rPr>
      </w:pPr>
      <w:r>
        <w:rPr>
          <w:rFonts w:ascii="Times New Roman" w:eastAsia="仿宋_GB2312" w:hAnsi="Times New Roman" w:cs="Times New Roman"/>
          <w:b/>
          <w:sz w:val="32"/>
          <w:szCs w:val="32"/>
        </w:rPr>
        <w:t>第一部分</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b/>
          <w:sz w:val="32"/>
          <w:szCs w:val="32"/>
        </w:rPr>
        <w:t>单位</w:t>
      </w:r>
      <w:r>
        <w:rPr>
          <w:rFonts w:ascii="Times New Roman" w:eastAsia="仿宋_GB2312" w:hAnsi="Times New Roman" w:cs="Times New Roman"/>
          <w:b/>
          <w:sz w:val="32"/>
          <w:szCs w:val="32"/>
        </w:rPr>
        <w:t>概况</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主要职责</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单位</w:t>
      </w:r>
      <w:r>
        <w:rPr>
          <w:rFonts w:ascii="Times New Roman" w:eastAsia="仿宋_GB2312" w:hAnsi="Times New Roman" w:cs="Times New Roman"/>
          <w:bCs/>
          <w:sz w:val="32"/>
          <w:szCs w:val="32"/>
        </w:rPr>
        <w:t>预算构成</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3.2023</w:t>
      </w:r>
      <w:r>
        <w:rPr>
          <w:rFonts w:ascii="Times New Roman" w:eastAsia="仿宋_GB2312" w:hAnsi="Times New Roman" w:cs="Times New Roman"/>
          <w:bCs/>
          <w:sz w:val="32"/>
          <w:szCs w:val="32"/>
        </w:rPr>
        <w:t>年度主要工作任务</w:t>
      </w:r>
    </w:p>
    <w:p w:rsidR="006B35AF" w:rsidRDefault="00570D47" w:rsidP="00FA2640">
      <w:pPr>
        <w:pStyle w:val="a6"/>
        <w:adjustRightInd w:val="0"/>
        <w:snapToGrid w:val="0"/>
        <w:spacing w:before="0" w:beforeAutospacing="0" w:after="0" w:afterAutospacing="0"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第二部分</w:t>
      </w:r>
      <w:r>
        <w:rPr>
          <w:rFonts w:ascii="Times New Roman" w:eastAsia="仿宋_GB2312" w:hAnsi="Times New Roman" w:cs="Times New Roman"/>
          <w:b/>
          <w:sz w:val="32"/>
          <w:szCs w:val="32"/>
        </w:rPr>
        <w:t xml:space="preserve"> 2023</w:t>
      </w:r>
      <w:r>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单位</w:t>
      </w:r>
      <w:r>
        <w:rPr>
          <w:rFonts w:ascii="Times New Roman" w:eastAsia="仿宋_GB2312" w:hAnsi="Times New Roman" w:cs="Times New Roman"/>
          <w:b/>
          <w:sz w:val="32"/>
          <w:szCs w:val="32"/>
        </w:rPr>
        <w:t>预算表</w:t>
      </w:r>
    </w:p>
    <w:p w:rsidR="006B35AF" w:rsidRDefault="00570D47">
      <w:pPr>
        <w:pStyle w:val="a6"/>
        <w:adjustRightInd w:val="0"/>
        <w:snapToGrid w:val="0"/>
        <w:spacing w:before="0" w:beforeAutospacing="0" w:after="0" w:afterAutospacing="0" w:line="60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年收支总表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年收入总表</w:t>
      </w:r>
    </w:p>
    <w:p w:rsidR="006B35AF" w:rsidRDefault="00570D47">
      <w:pPr>
        <w:pStyle w:val="a6"/>
        <w:adjustRightInd w:val="0"/>
        <w:snapToGrid w:val="0"/>
        <w:spacing w:before="0" w:beforeAutospacing="0" w:after="0" w:afterAutospacing="0" w:line="60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年支出总表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年财政拨款收支总表</w:t>
      </w:r>
    </w:p>
    <w:p w:rsidR="006B35AF" w:rsidRDefault="00570D47">
      <w:pPr>
        <w:pStyle w:val="a6"/>
        <w:adjustRightInd w:val="0"/>
        <w:snapToGrid w:val="0"/>
        <w:spacing w:before="0" w:beforeAutospacing="0" w:after="0" w:afterAutospacing="0" w:line="60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年一般公共预算支出表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年一般公共预算基本支出表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年政府性基金预算支出表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年国有资本经营预算支出表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年项目支出表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年政府采购支出表</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年政府购买服务支出表</w:t>
      </w:r>
    </w:p>
    <w:p w:rsidR="006B35AF" w:rsidRDefault="00570D47" w:rsidP="00FA2640">
      <w:pPr>
        <w:pStyle w:val="a6"/>
        <w:adjustRightInd w:val="0"/>
        <w:snapToGrid w:val="0"/>
        <w:spacing w:before="0" w:beforeAutospacing="0" w:after="0" w:afterAutospacing="0"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第三部分</w:t>
      </w:r>
      <w:r>
        <w:rPr>
          <w:rFonts w:ascii="Times New Roman" w:eastAsia="仿宋_GB2312" w:hAnsi="Times New Roman" w:cs="Times New Roman"/>
          <w:b/>
          <w:sz w:val="32"/>
          <w:szCs w:val="32"/>
        </w:rPr>
        <w:t xml:space="preserve"> 2023</w:t>
      </w:r>
      <w:r>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单位</w:t>
      </w:r>
      <w:r>
        <w:rPr>
          <w:rFonts w:ascii="Times New Roman" w:eastAsia="仿宋_GB2312" w:hAnsi="Times New Roman" w:cs="Times New Roman"/>
          <w:b/>
          <w:sz w:val="32"/>
          <w:szCs w:val="32"/>
        </w:rPr>
        <w:t>预算情况说明</w:t>
      </w:r>
    </w:p>
    <w:p w:rsidR="006B35AF" w:rsidRDefault="00570D47">
      <w:pPr>
        <w:pStyle w:val="a6"/>
        <w:adjustRightInd w:val="0"/>
        <w:snapToGrid w:val="0"/>
        <w:spacing w:before="0" w:beforeAutospacing="0" w:after="0" w:afterAutospacing="0" w:line="60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年收支总表的说明</w:t>
      </w:r>
    </w:p>
    <w:p w:rsidR="006B35AF" w:rsidRDefault="00570D47">
      <w:pPr>
        <w:pStyle w:val="a6"/>
        <w:widowControl w:val="0"/>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年收入总表的说明</w:t>
      </w:r>
    </w:p>
    <w:p w:rsidR="006B35AF" w:rsidRDefault="00570D47">
      <w:pPr>
        <w:adjustRightInd w:val="0"/>
        <w:snapToGrid w:val="0"/>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lastRenderedPageBreak/>
        <w:t>3.</w:t>
      </w:r>
      <w:r>
        <w:rPr>
          <w:rFonts w:ascii="Times New Roman" w:eastAsia="仿宋_GB2312" w:hAnsi="Times New Roman" w:cs="Times New Roman"/>
          <w:bCs/>
          <w:kern w:val="0"/>
          <w:sz w:val="32"/>
          <w:szCs w:val="32"/>
        </w:rPr>
        <w:t>关于</w:t>
      </w:r>
      <w:r>
        <w:rPr>
          <w:rFonts w:ascii="Times New Roman" w:eastAsia="仿宋_GB2312" w:hAnsi="Times New Roman" w:cs="Times New Roman"/>
          <w:bCs/>
          <w:kern w:val="0"/>
          <w:sz w:val="32"/>
          <w:szCs w:val="32"/>
        </w:rPr>
        <w:t>2023</w:t>
      </w:r>
      <w:r>
        <w:rPr>
          <w:rFonts w:ascii="Times New Roman" w:eastAsia="仿宋_GB2312" w:hAnsi="Times New Roman" w:cs="Times New Roman"/>
          <w:bCs/>
          <w:kern w:val="0"/>
          <w:sz w:val="32"/>
          <w:szCs w:val="32"/>
        </w:rPr>
        <w:t>年支出总表的说明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年财政拨款收支总表的说明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年一般公共预算支出表的说明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年一般公共预算基本支出表的说明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年政府性基金预算支出表的说明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年国有资本经营预算支出表的说明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年项目支出表的说明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年政府采购支出表的说明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关于</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年政府购买服务支出表的说明</w:t>
      </w:r>
    </w:p>
    <w:p w:rsidR="006B35AF" w:rsidRDefault="00570D47">
      <w:pPr>
        <w:pStyle w:val="a6"/>
        <w:adjustRightInd w:val="0"/>
        <w:snapToGrid w:val="0"/>
        <w:spacing w:before="0" w:beforeAutospacing="0" w:after="0" w:afterAutospacing="0" w:line="60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其他重要事项情况说明</w:t>
      </w:r>
    </w:p>
    <w:p w:rsidR="006B35AF" w:rsidRDefault="00570D47" w:rsidP="00FA2640">
      <w:pPr>
        <w:pStyle w:val="a6"/>
        <w:adjustRightInd w:val="0"/>
        <w:snapToGrid w:val="0"/>
        <w:spacing w:before="0" w:beforeAutospacing="0" w:after="0" w:afterAutospacing="0" w:line="60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第四部分</w:t>
      </w:r>
      <w:r>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名词解释</w:t>
      </w:r>
    </w:p>
    <w:p w:rsidR="006B35AF" w:rsidRDefault="006B35AF" w:rsidP="00FA2640">
      <w:pPr>
        <w:pStyle w:val="a6"/>
        <w:adjustRightInd w:val="0"/>
        <w:snapToGrid w:val="0"/>
        <w:spacing w:before="0" w:beforeAutospacing="0" w:after="0" w:afterAutospacing="0" w:line="600" w:lineRule="exact"/>
        <w:ind w:firstLineChars="200" w:firstLine="643"/>
        <w:rPr>
          <w:rFonts w:ascii="Times New Roman" w:eastAsia="仿宋_GB2312" w:hAnsi="Times New Roman" w:cs="Times New Roman"/>
          <w:b/>
          <w:sz w:val="32"/>
          <w:szCs w:val="32"/>
        </w:rPr>
      </w:pPr>
    </w:p>
    <w:p w:rsidR="006B35AF" w:rsidRDefault="006B35AF" w:rsidP="00FA2640">
      <w:pPr>
        <w:pStyle w:val="a6"/>
        <w:adjustRightInd w:val="0"/>
        <w:snapToGrid w:val="0"/>
        <w:spacing w:before="0" w:beforeAutospacing="0" w:after="0" w:afterAutospacing="0" w:line="600" w:lineRule="exact"/>
        <w:ind w:firstLineChars="200" w:firstLine="643"/>
        <w:rPr>
          <w:rFonts w:ascii="Times New Roman" w:eastAsia="仿宋_GB2312" w:hAnsi="Times New Roman" w:cs="Times New Roman"/>
          <w:b/>
          <w:sz w:val="32"/>
          <w:szCs w:val="32"/>
        </w:rPr>
      </w:pPr>
    </w:p>
    <w:p w:rsidR="006B35AF" w:rsidRDefault="006B35AF">
      <w:pPr>
        <w:pStyle w:val="a6"/>
        <w:adjustRightInd w:val="0"/>
        <w:snapToGrid w:val="0"/>
        <w:spacing w:before="0" w:beforeAutospacing="0" w:after="0" w:afterAutospacing="0" w:line="600" w:lineRule="exact"/>
        <w:rPr>
          <w:rFonts w:ascii="Times New Roman" w:eastAsia="仿宋_GB2312" w:hAnsi="Times New Roman" w:cs="Times New Roman"/>
          <w:b/>
          <w:sz w:val="32"/>
          <w:szCs w:val="32"/>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p>
    <w:p w:rsidR="006B35AF" w:rsidRDefault="00570D47">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r>
        <w:rPr>
          <w:rFonts w:ascii="Times New Roman" w:eastAsia="黑体" w:hAnsi="黑体" w:cs="Times New Roman"/>
          <w:bCs/>
          <w:sz w:val="36"/>
          <w:szCs w:val="36"/>
        </w:rPr>
        <w:lastRenderedPageBreak/>
        <w:t>第一部分</w:t>
      </w:r>
      <w:r>
        <w:rPr>
          <w:rFonts w:ascii="Times New Roman" w:eastAsia="黑体" w:hAnsi="Times New Roman" w:cs="Times New Roman"/>
          <w:bCs/>
          <w:sz w:val="36"/>
          <w:szCs w:val="36"/>
        </w:rPr>
        <w:t xml:space="preserve"> </w:t>
      </w:r>
      <w:r>
        <w:rPr>
          <w:rFonts w:ascii="Times New Roman" w:eastAsia="黑体" w:hAnsi="黑体" w:cs="Times New Roman"/>
          <w:bCs/>
          <w:sz w:val="36"/>
          <w:szCs w:val="36"/>
        </w:rPr>
        <w:t>单位概况</w:t>
      </w:r>
    </w:p>
    <w:p w:rsidR="006B35AF" w:rsidRDefault="00570D47">
      <w:pPr>
        <w:pStyle w:val="a6"/>
        <w:adjustRightInd w:val="0"/>
        <w:snapToGrid w:val="0"/>
        <w:spacing w:before="0" w:beforeAutospacing="0" w:after="0" w:afterAutospacing="0" w:line="600" w:lineRule="exact"/>
        <w:ind w:firstLineChars="196" w:firstLine="627"/>
        <w:jc w:val="both"/>
        <w:rPr>
          <w:rFonts w:ascii="Times New Roman" w:hAnsi="Times New Roman" w:cs="Times New Roman"/>
        </w:rPr>
      </w:pPr>
      <w:r>
        <w:rPr>
          <w:rFonts w:ascii="Times New Roman" w:eastAsia="黑体" w:hAnsi="黑体" w:cs="Times New Roman"/>
          <w:bCs/>
          <w:sz w:val="32"/>
          <w:szCs w:val="32"/>
        </w:rPr>
        <w:t>一、主要职责</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bCs/>
          <w:sz w:val="32"/>
          <w:szCs w:val="32"/>
        </w:rPr>
      </w:pPr>
      <w:r>
        <w:rPr>
          <w:rFonts w:ascii="Times New Roman" w:eastAsia="仿宋_GB2312" w:hAnsi="Times New Roman" w:cs="Times New Roman"/>
          <w:bCs/>
          <w:sz w:val="32"/>
          <w:szCs w:val="32"/>
        </w:rPr>
        <w:t>开展全日制中等职业教育，培养中专学历技术人才</w:t>
      </w:r>
      <w:r>
        <w:rPr>
          <w:rFonts w:ascii="Times New Roman" w:eastAsia="黑体" w:hAnsi="黑体" w:cs="Times New Roman"/>
          <w:bCs/>
          <w:sz w:val="32"/>
          <w:szCs w:val="32"/>
        </w:rPr>
        <w:t>。</w:t>
      </w:r>
      <w:r>
        <w:rPr>
          <w:rFonts w:ascii="Times New Roman" w:eastAsia="仿宋_GB2312" w:hAnsi="Times New Roman" w:cs="Times New Roman"/>
          <w:bCs/>
          <w:sz w:val="32"/>
          <w:szCs w:val="32"/>
        </w:rPr>
        <w:t>面向全省农业系统干部、新型职业农民等群体开展农业技术培训。</w:t>
      </w:r>
    </w:p>
    <w:p w:rsidR="006B35AF" w:rsidRDefault="00570D47">
      <w:pPr>
        <w:pStyle w:val="a6"/>
        <w:numPr>
          <w:ilvl w:val="0"/>
          <w:numId w:val="1"/>
        </w:numPr>
        <w:adjustRightInd w:val="0"/>
        <w:snapToGrid w:val="0"/>
        <w:spacing w:before="0" w:beforeAutospacing="0" w:after="0" w:afterAutospacing="0" w:line="600" w:lineRule="exact"/>
        <w:ind w:firstLineChars="196" w:firstLine="627"/>
        <w:jc w:val="both"/>
        <w:rPr>
          <w:rFonts w:ascii="Times New Roman" w:eastAsia="黑体" w:hAnsi="Times New Roman" w:cs="Times New Roman"/>
          <w:bCs/>
          <w:sz w:val="32"/>
          <w:szCs w:val="32"/>
        </w:rPr>
      </w:pPr>
      <w:r>
        <w:rPr>
          <w:rFonts w:ascii="Times New Roman" w:eastAsia="黑体" w:hAnsi="黑体" w:cs="Times New Roman"/>
          <w:bCs/>
          <w:sz w:val="32"/>
          <w:szCs w:val="32"/>
        </w:rPr>
        <w:t>单位预算构成</w:t>
      </w:r>
    </w:p>
    <w:p w:rsidR="006B35AF" w:rsidRDefault="00570D47">
      <w:pPr>
        <w:pStyle w:val="a6"/>
        <w:adjustRightInd w:val="0"/>
        <w:snapToGrid w:val="0"/>
        <w:spacing w:before="0" w:beforeAutospacing="0" w:after="0" w:afterAutospacing="0" w:line="600" w:lineRule="exact"/>
        <w:ind w:firstLineChars="200" w:firstLine="640"/>
        <w:jc w:val="both"/>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安徽生物工程学校</w:t>
      </w:r>
      <w:r>
        <w:rPr>
          <w:rFonts w:ascii="Times New Roman" w:eastAsia="仿宋_GB2312" w:hAnsi="Times New Roman" w:cs="Times New Roman"/>
          <w:bCs/>
          <w:sz w:val="32"/>
          <w:szCs w:val="32"/>
        </w:rPr>
        <w:t>2023</w:t>
      </w:r>
      <w:r>
        <w:rPr>
          <w:rFonts w:ascii="Times New Roman" w:eastAsia="仿宋_GB2312" w:hAnsi="Times New Roman" w:cs="Times New Roman"/>
          <w:bCs/>
          <w:sz w:val="32"/>
          <w:szCs w:val="32"/>
        </w:rPr>
        <w:t>年度单位预算仅包括单位本级预算，无其他下属单位预算。</w:t>
      </w:r>
    </w:p>
    <w:p w:rsidR="006B35AF" w:rsidRDefault="00570D47">
      <w:pPr>
        <w:pStyle w:val="a6"/>
        <w:adjustRightInd w:val="0"/>
        <w:snapToGrid w:val="0"/>
        <w:spacing w:before="0" w:beforeAutospacing="0" w:after="0" w:afterAutospacing="0" w:line="600" w:lineRule="exact"/>
        <w:ind w:firstLineChars="150" w:firstLine="480"/>
        <w:outlineLvl w:val="0"/>
        <w:rPr>
          <w:rFonts w:ascii="Times New Roman" w:eastAsia="黑体" w:hAnsi="Times New Roman" w:cs="Times New Roman"/>
          <w:bCs/>
          <w:sz w:val="32"/>
          <w:szCs w:val="32"/>
        </w:rPr>
      </w:pPr>
      <w:r>
        <w:rPr>
          <w:rFonts w:ascii="Times New Roman" w:eastAsia="仿宋_GB2312" w:hAnsi="Times New Roman" w:cs="Times New Roman"/>
          <w:bCs/>
          <w:sz w:val="32"/>
          <w:szCs w:val="32"/>
        </w:rPr>
        <w:t xml:space="preserve"> </w:t>
      </w:r>
      <w:r>
        <w:rPr>
          <w:rFonts w:ascii="Times New Roman" w:eastAsia="黑体" w:hAnsi="黑体" w:cs="Times New Roman"/>
          <w:bCs/>
          <w:sz w:val="32"/>
          <w:szCs w:val="32"/>
        </w:rPr>
        <w:t>三、</w:t>
      </w:r>
      <w:r>
        <w:rPr>
          <w:rFonts w:ascii="Times New Roman" w:eastAsia="黑体" w:hAnsi="Times New Roman" w:cs="Times New Roman"/>
          <w:bCs/>
          <w:sz w:val="32"/>
          <w:szCs w:val="32"/>
        </w:rPr>
        <w:t>2023</w:t>
      </w:r>
      <w:r>
        <w:rPr>
          <w:rFonts w:ascii="Times New Roman" w:eastAsia="黑体" w:hAnsi="Times New Roman" w:cs="Times New Roman"/>
          <w:bCs/>
          <w:sz w:val="32"/>
          <w:szCs w:val="32"/>
        </w:rPr>
        <w:t>年</w:t>
      </w:r>
      <w:r>
        <w:rPr>
          <w:rFonts w:ascii="Times New Roman" w:eastAsia="黑体" w:hAnsi="黑体" w:cs="Times New Roman"/>
          <w:bCs/>
          <w:sz w:val="32"/>
          <w:szCs w:val="32"/>
        </w:rPr>
        <w:t>度主要工作任务</w:t>
      </w:r>
    </w:p>
    <w:p w:rsidR="006B35AF" w:rsidRDefault="00570D47">
      <w:pPr>
        <w:pStyle w:val="a6"/>
        <w:adjustRightInd w:val="0"/>
        <w:snapToGrid w:val="0"/>
        <w:spacing w:before="0" w:beforeAutospacing="0" w:after="0" w:afterAutospacing="0" w:line="600" w:lineRule="exact"/>
        <w:ind w:firstLineChars="200" w:firstLine="640"/>
        <w:outlineLvl w:val="0"/>
        <w:rPr>
          <w:rFonts w:ascii="Times New Roman" w:eastAsia="仿宋_GB2312" w:hAnsi="Times New Roman" w:cs="Times New Roman"/>
          <w:bCs/>
          <w:sz w:val="32"/>
          <w:szCs w:val="32"/>
        </w:rPr>
      </w:pPr>
      <w:r>
        <w:rPr>
          <w:rFonts w:ascii="Times New Roman" w:eastAsia="仿宋_GB2312" w:hAnsi="Times New Roman" w:cs="Times New Roman"/>
          <w:bCs/>
          <w:sz w:val="32"/>
          <w:szCs w:val="32"/>
        </w:rPr>
        <w:t>完</w:t>
      </w:r>
      <w:r>
        <w:rPr>
          <w:rFonts w:ascii="Times New Roman" w:eastAsia="仿宋_GB2312" w:hAnsi="Times New Roman" w:cs="Times New Roman" w:hint="eastAsia"/>
          <w:bCs/>
          <w:sz w:val="32"/>
          <w:szCs w:val="32"/>
        </w:rPr>
        <w:t>成全日制中职教育年度培养目标。</w:t>
      </w:r>
      <w:r>
        <w:rPr>
          <w:rFonts w:ascii="Times New Roman" w:eastAsia="仿宋_GB2312" w:hAnsi="Times New Roman" w:cs="Times New Roman" w:hint="eastAsia"/>
          <w:bCs/>
          <w:sz w:val="32"/>
          <w:szCs w:val="32"/>
        </w:rPr>
        <w:t>2023</w:t>
      </w:r>
      <w:r>
        <w:rPr>
          <w:rFonts w:ascii="Times New Roman" w:eastAsia="仿宋_GB2312" w:hAnsi="Times New Roman" w:cs="Times New Roman" w:hint="eastAsia"/>
          <w:bCs/>
          <w:sz w:val="32"/>
          <w:szCs w:val="32"/>
        </w:rPr>
        <w:t>年计划全日制在校生规模</w:t>
      </w:r>
      <w:r>
        <w:rPr>
          <w:rFonts w:ascii="Times New Roman" w:eastAsia="仿宋_GB2312" w:hAnsi="Times New Roman" w:cs="Times New Roman" w:hint="eastAsia"/>
          <w:bCs/>
          <w:sz w:val="32"/>
          <w:szCs w:val="32"/>
        </w:rPr>
        <w:t>400</w:t>
      </w:r>
      <w:r>
        <w:rPr>
          <w:rFonts w:ascii="Times New Roman" w:eastAsia="仿宋_GB2312" w:hAnsi="Times New Roman" w:cs="Times New Roman" w:hint="eastAsia"/>
          <w:bCs/>
          <w:sz w:val="32"/>
          <w:szCs w:val="32"/>
        </w:rPr>
        <w:t>人左右，按照教育主管部门及专业培养有关要求，认真落实中职教育培养计划，确保完成年度培养目标。完成农业职业技术培训年度目标。</w:t>
      </w:r>
      <w:r>
        <w:rPr>
          <w:rFonts w:ascii="Times New Roman" w:eastAsia="仿宋_GB2312" w:hAnsi="Times New Roman" w:cs="Times New Roman" w:hint="eastAsia"/>
          <w:bCs/>
          <w:sz w:val="32"/>
          <w:szCs w:val="32"/>
        </w:rPr>
        <w:t>2023</w:t>
      </w:r>
      <w:r>
        <w:rPr>
          <w:rFonts w:ascii="Times New Roman" w:eastAsia="仿宋_GB2312" w:hAnsi="Times New Roman" w:cs="Times New Roman" w:hint="eastAsia"/>
          <w:bCs/>
          <w:sz w:val="32"/>
          <w:szCs w:val="32"/>
        </w:rPr>
        <w:t>年计划培训农技骨干、新型职业农民</w:t>
      </w:r>
      <w:r>
        <w:rPr>
          <w:rFonts w:ascii="Times New Roman" w:eastAsia="仿宋_GB2312" w:hAnsi="Times New Roman" w:cs="Times New Roman" w:hint="eastAsia"/>
          <w:bCs/>
          <w:sz w:val="32"/>
          <w:szCs w:val="32"/>
        </w:rPr>
        <w:t>3000</w:t>
      </w:r>
      <w:r>
        <w:rPr>
          <w:rFonts w:ascii="Times New Roman" w:eastAsia="仿宋_GB2312" w:hAnsi="Times New Roman" w:cs="Times New Roman" w:hint="eastAsia"/>
          <w:bCs/>
          <w:sz w:val="32"/>
          <w:szCs w:val="32"/>
        </w:rPr>
        <w:t>人次左右，为全省范围农业经营主体、新型职业农民提供技术与跟踪服务；积极开展农业职业技能鉴定，依托水生生物病害防治员、动物疫病防治员、动物检疫检验员、农产品食品检验员、农作物植保员、农业技术员、沼气工等</w:t>
      </w:r>
      <w:r>
        <w:rPr>
          <w:rFonts w:ascii="Times New Roman" w:eastAsia="仿宋_GB2312" w:hAnsi="Times New Roman" w:cs="Times New Roman" w:hint="eastAsia"/>
          <w:bCs/>
          <w:sz w:val="32"/>
          <w:szCs w:val="32"/>
        </w:rPr>
        <w:t>7</w:t>
      </w:r>
      <w:r>
        <w:rPr>
          <w:rFonts w:ascii="Times New Roman" w:eastAsia="仿宋_GB2312" w:hAnsi="Times New Roman" w:cs="Times New Roman" w:hint="eastAsia"/>
          <w:bCs/>
          <w:sz w:val="32"/>
          <w:szCs w:val="32"/>
        </w:rPr>
        <w:t>个农业行业工种职业技能等级认定点面向社会规范实施农业职业技能等级认定。完善</w:t>
      </w:r>
      <w:r>
        <w:rPr>
          <w:rFonts w:ascii="Times New Roman" w:eastAsia="仿宋_GB2312" w:hAnsi="Times New Roman" w:cs="Times New Roman" w:hint="eastAsia"/>
          <w:bCs/>
          <w:sz w:val="32"/>
          <w:szCs w:val="32"/>
        </w:rPr>
        <w:t>实习实训条件。</w:t>
      </w:r>
      <w:r>
        <w:rPr>
          <w:rFonts w:ascii="Times New Roman" w:eastAsia="仿宋_GB2312" w:hAnsi="Times New Roman" w:cs="Times New Roman" w:hint="eastAsia"/>
          <w:bCs/>
          <w:sz w:val="32"/>
          <w:szCs w:val="32"/>
        </w:rPr>
        <w:t>2023</w:t>
      </w:r>
      <w:r>
        <w:rPr>
          <w:rFonts w:ascii="Times New Roman" w:eastAsia="仿宋_GB2312" w:hAnsi="Times New Roman" w:cs="Times New Roman" w:hint="eastAsia"/>
          <w:bCs/>
          <w:sz w:val="32"/>
          <w:szCs w:val="32"/>
        </w:rPr>
        <w:t>年，有计划购置实习实训设备，重点建设电工电子、工业机器人实验实训室，不断改善实习实训条件，提高中职教育教学质量和技能水平。</w:t>
      </w:r>
    </w:p>
    <w:p w:rsidR="006B35AF" w:rsidRDefault="006B35AF">
      <w:pPr>
        <w:pStyle w:val="a6"/>
        <w:adjustRightInd w:val="0"/>
        <w:snapToGrid w:val="0"/>
        <w:spacing w:before="0" w:beforeAutospacing="0" w:after="0" w:afterAutospacing="0" w:line="600" w:lineRule="exact"/>
        <w:ind w:firstLineChars="200" w:firstLine="640"/>
        <w:outlineLvl w:val="0"/>
        <w:rPr>
          <w:rFonts w:ascii="Times New Roman" w:eastAsia="黑体" w:hAnsi="Times New Roman" w:cs="Times New Roman"/>
          <w:bCs/>
          <w:sz w:val="32"/>
          <w:szCs w:val="32"/>
        </w:rPr>
      </w:pPr>
    </w:p>
    <w:p w:rsidR="006B35AF" w:rsidRDefault="00570D47">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r>
        <w:rPr>
          <w:rFonts w:ascii="Times New Roman" w:eastAsia="黑体" w:hAnsi="黑体" w:cs="Times New Roman"/>
          <w:bCs/>
          <w:sz w:val="36"/>
          <w:szCs w:val="36"/>
        </w:rPr>
        <w:lastRenderedPageBreak/>
        <w:t>第二部分</w:t>
      </w:r>
      <w:r>
        <w:rPr>
          <w:rFonts w:ascii="Times New Roman" w:eastAsia="黑体" w:hAnsi="Times New Roman" w:cs="Times New Roman"/>
          <w:bCs/>
          <w:sz w:val="36"/>
          <w:szCs w:val="36"/>
        </w:rPr>
        <w:t xml:space="preserve"> 2023</w:t>
      </w:r>
      <w:r>
        <w:rPr>
          <w:rFonts w:ascii="Times New Roman" w:eastAsia="黑体" w:hAnsi="Times New Roman" w:cs="Times New Roman"/>
          <w:bCs/>
          <w:sz w:val="36"/>
          <w:szCs w:val="36"/>
        </w:rPr>
        <w:t>年</w:t>
      </w:r>
      <w:r>
        <w:rPr>
          <w:rFonts w:ascii="Times New Roman" w:eastAsia="黑体" w:hAnsi="黑体" w:cs="Times New Roman"/>
          <w:bCs/>
          <w:sz w:val="36"/>
          <w:szCs w:val="36"/>
        </w:rPr>
        <w:t>单位预算表</w:t>
      </w: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宋体" w:cs="Times New Roman"/>
          <w:kern w:val="0"/>
          <w:sz w:val="20"/>
          <w:szCs w:val="20"/>
        </w:rPr>
        <w:t>单位公开表</w:t>
      </w:r>
      <w:r>
        <w:rPr>
          <w:rFonts w:ascii="Times New Roman" w:hAnsi="Times New Roman" w:cs="Times New Roman"/>
          <w:kern w:val="0"/>
          <w:sz w:val="20"/>
          <w:szCs w:val="20"/>
        </w:rPr>
        <w:t>1</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收支总表</w:t>
      </w: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imes New Roman" w:cs="Times New Roman"/>
          <w:kern w:val="0"/>
          <w:sz w:val="20"/>
          <w:szCs w:val="20"/>
        </w:rPr>
        <w:t xml:space="preserve">              </w:t>
      </w:r>
      <w:r>
        <w:rPr>
          <w:rFonts w:ascii="Times New Roman" w:hAnsi="宋体" w:cs="Times New Roman"/>
          <w:kern w:val="0"/>
          <w:sz w:val="20"/>
          <w:szCs w:val="20"/>
        </w:rPr>
        <w:t>单位：万元</w:t>
      </w:r>
    </w:p>
    <w:tbl>
      <w:tblPr>
        <w:tblW w:w="9072" w:type="dxa"/>
        <w:jc w:val="center"/>
        <w:tblLayout w:type="fixed"/>
        <w:tblLook w:val="04A0"/>
      </w:tblPr>
      <w:tblGrid>
        <w:gridCol w:w="3670"/>
        <w:gridCol w:w="1070"/>
        <w:gridCol w:w="3414"/>
        <w:gridCol w:w="918"/>
      </w:tblGrid>
      <w:tr w:rsidR="006B35AF">
        <w:trPr>
          <w:cantSplit/>
          <w:trHeight w:val="567"/>
          <w:tblHeader/>
          <w:jc w:val="center"/>
        </w:trPr>
        <w:tc>
          <w:tcPr>
            <w:tcW w:w="4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imes New Roman" w:cs="Times New Roman"/>
                <w:b/>
                <w:kern w:val="0"/>
                <w:sz w:val="20"/>
                <w:szCs w:val="20"/>
              </w:rPr>
              <w:t xml:space="preserve">          </w:t>
            </w:r>
            <w:r>
              <w:rPr>
                <w:rFonts w:ascii="Times New Roman" w:hAnsiTheme="minorEastAsia" w:cs="Times New Roman"/>
                <w:b/>
                <w:kern w:val="0"/>
                <w:sz w:val="20"/>
                <w:szCs w:val="20"/>
              </w:rPr>
              <w:t>收</w:t>
            </w:r>
            <w:r>
              <w:rPr>
                <w:rFonts w:ascii="Times New Roman" w:hAnsi="Times New Roman" w:cs="Times New Roman"/>
                <w:b/>
                <w:kern w:val="0"/>
                <w:sz w:val="20"/>
                <w:szCs w:val="20"/>
              </w:rPr>
              <w:t xml:space="preserve">            </w:t>
            </w:r>
            <w:r>
              <w:rPr>
                <w:rFonts w:ascii="Times New Roman" w:hAnsiTheme="minorEastAsia" w:cs="Times New Roman"/>
                <w:b/>
                <w:kern w:val="0"/>
                <w:sz w:val="20"/>
                <w:szCs w:val="20"/>
              </w:rPr>
              <w:t>入</w:t>
            </w:r>
            <w:r>
              <w:rPr>
                <w:rFonts w:ascii="Times New Roman" w:hAnsi="Times New Roman" w:cs="Times New Roman"/>
                <w:b/>
                <w:kern w:val="0"/>
                <w:sz w:val="20"/>
                <w:szCs w:val="20"/>
              </w:rPr>
              <w:t xml:space="preserve">             </w:t>
            </w:r>
          </w:p>
        </w:tc>
        <w:tc>
          <w:tcPr>
            <w:tcW w:w="4040"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heme="minorEastAsia" w:cs="Times New Roman"/>
                <w:b/>
                <w:kern w:val="0"/>
                <w:sz w:val="20"/>
                <w:szCs w:val="20"/>
              </w:rPr>
              <w:t>支</w:t>
            </w:r>
            <w:r>
              <w:rPr>
                <w:rFonts w:ascii="Times New Roman" w:hAnsi="Times New Roman" w:cs="Times New Roman"/>
                <w:b/>
                <w:kern w:val="0"/>
                <w:sz w:val="20"/>
                <w:szCs w:val="20"/>
              </w:rPr>
              <w:t xml:space="preserve">          </w:t>
            </w:r>
            <w:r>
              <w:rPr>
                <w:rFonts w:ascii="Times New Roman" w:hAnsiTheme="minorEastAsia" w:cs="Times New Roman"/>
                <w:b/>
                <w:kern w:val="0"/>
                <w:sz w:val="20"/>
                <w:szCs w:val="20"/>
              </w:rPr>
              <w:t>出</w:t>
            </w:r>
          </w:p>
        </w:tc>
      </w:tr>
      <w:tr w:rsidR="006B35AF">
        <w:trPr>
          <w:cantSplit/>
          <w:trHeight w:val="567"/>
          <w:tblHeader/>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heme="minorEastAsia" w:cs="Times New Roman"/>
                <w:b/>
                <w:kern w:val="0"/>
                <w:sz w:val="20"/>
                <w:szCs w:val="20"/>
              </w:rPr>
              <w:t>收</w:t>
            </w:r>
            <w:r>
              <w:rPr>
                <w:rFonts w:ascii="Times New Roman" w:hAnsi="Times New Roman" w:cs="Times New Roman"/>
                <w:b/>
                <w:kern w:val="0"/>
                <w:sz w:val="20"/>
                <w:szCs w:val="20"/>
              </w:rPr>
              <w:t xml:space="preserve"> </w:t>
            </w:r>
            <w:r>
              <w:rPr>
                <w:rFonts w:ascii="Times New Roman" w:hAnsiTheme="minorEastAsia" w:cs="Times New Roman"/>
                <w:b/>
                <w:kern w:val="0"/>
                <w:sz w:val="20"/>
                <w:szCs w:val="20"/>
              </w:rPr>
              <w:t>入</w:t>
            </w:r>
            <w:r>
              <w:rPr>
                <w:rFonts w:ascii="Times New Roman" w:hAnsi="Times New Roman" w:cs="Times New Roman"/>
                <w:b/>
                <w:kern w:val="0"/>
                <w:sz w:val="20"/>
                <w:szCs w:val="20"/>
              </w:rPr>
              <w:t xml:space="preserve"> </w:t>
            </w:r>
            <w:r>
              <w:rPr>
                <w:rFonts w:ascii="Times New Roman" w:hAnsiTheme="minorEastAsia" w:cs="Times New Roman"/>
                <w:b/>
                <w:kern w:val="0"/>
                <w:sz w:val="20"/>
                <w:szCs w:val="20"/>
              </w:rPr>
              <w:t>项</w:t>
            </w:r>
            <w:r>
              <w:rPr>
                <w:rFonts w:ascii="Times New Roman" w:hAnsi="Times New Roman" w:cs="Times New Roman"/>
                <w:b/>
                <w:kern w:val="0"/>
                <w:sz w:val="20"/>
                <w:szCs w:val="20"/>
              </w:rPr>
              <w:t xml:space="preserve"> </w:t>
            </w:r>
            <w:r>
              <w:rPr>
                <w:rFonts w:ascii="Times New Roman" w:hAnsiTheme="minorEastAsia" w:cs="Times New Roman"/>
                <w:b/>
                <w:kern w:val="0"/>
                <w:sz w:val="20"/>
                <w:szCs w:val="20"/>
              </w:rPr>
              <w:t>目</w:t>
            </w:r>
          </w:p>
        </w:tc>
        <w:tc>
          <w:tcPr>
            <w:tcW w:w="998" w:type="dxa"/>
            <w:tcBorders>
              <w:top w:val="nil"/>
              <w:left w:val="nil"/>
              <w:bottom w:val="nil"/>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heme="minorEastAsia" w:cs="Times New Roman"/>
                <w:b/>
                <w:kern w:val="0"/>
                <w:sz w:val="20"/>
                <w:szCs w:val="20"/>
              </w:rPr>
              <w:t>预算数</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heme="minorEastAsia" w:cs="Times New Roman"/>
                <w:b/>
                <w:kern w:val="0"/>
                <w:sz w:val="20"/>
                <w:szCs w:val="20"/>
              </w:rPr>
              <w:t>支出功能分类科目</w:t>
            </w:r>
          </w:p>
        </w:tc>
        <w:tc>
          <w:tcPr>
            <w:tcW w:w="856" w:type="dxa"/>
            <w:tcBorders>
              <w:top w:val="nil"/>
              <w:left w:val="nil"/>
              <w:bottom w:val="nil"/>
              <w:right w:val="single" w:sz="4" w:space="0" w:color="auto"/>
            </w:tcBorders>
            <w:shd w:val="clear" w:color="auto" w:fill="auto"/>
            <w:vAlign w:val="center"/>
          </w:tcPr>
          <w:p w:rsidR="006B35AF" w:rsidRDefault="00570D47">
            <w:pPr>
              <w:widowControl/>
              <w:jc w:val="center"/>
              <w:rPr>
                <w:rFonts w:ascii="Times New Roman" w:hAnsi="Times New Roman" w:cs="Times New Roman"/>
                <w:b/>
                <w:kern w:val="0"/>
                <w:sz w:val="20"/>
                <w:szCs w:val="20"/>
              </w:rPr>
            </w:pPr>
            <w:r>
              <w:rPr>
                <w:rFonts w:ascii="Times New Roman" w:hAnsiTheme="minorEastAsia" w:cs="Times New Roman"/>
                <w:b/>
                <w:kern w:val="0"/>
                <w:sz w:val="20"/>
                <w:szCs w:val="20"/>
              </w:rPr>
              <w:t>预算数</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一、一般公共预算拨款收入</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877.9</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一、一般公共服务支出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81.1</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二、外交支出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三、国防支出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二、政府性基金预算拨款收入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四、公共安全支出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五、教育支出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777.6</w:t>
            </w: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六、科学技术支出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三、国有资本经营预算拨款收入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七、文化旅游体育与传媒支出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其中：中央转移支付收入</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八、社会保障和就业支出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126.6</w:t>
            </w: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九、卫生健康支出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2.4</w:t>
            </w: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四、财政专户管理资金收入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20.5</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十、节能环保支出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十一、城乡社区支出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五、单位资金收入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十二、农林水支出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其中：事业收入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十三、交通运输支出</w:t>
            </w:r>
          </w:p>
        </w:tc>
        <w:tc>
          <w:tcPr>
            <w:tcW w:w="856"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事业单位经营收入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十四、资源勘探工业信息等支出</w:t>
            </w:r>
          </w:p>
        </w:tc>
        <w:tc>
          <w:tcPr>
            <w:tcW w:w="856" w:type="dxa"/>
            <w:tcBorders>
              <w:top w:val="single" w:sz="4" w:space="0" w:color="auto"/>
              <w:left w:val="nil"/>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上级补助收入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十五、商业服务业等支出</w:t>
            </w:r>
          </w:p>
        </w:tc>
        <w:tc>
          <w:tcPr>
            <w:tcW w:w="856"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附属单位上缴收入</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十六、金融支出</w:t>
            </w:r>
          </w:p>
        </w:tc>
        <w:tc>
          <w:tcPr>
            <w:tcW w:w="856"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Theme="minorEastAsia" w:cs="Times New Roman"/>
                <w:kern w:val="0"/>
                <w:sz w:val="20"/>
                <w:szCs w:val="20"/>
              </w:rPr>
              <w:t>其他收入</w:t>
            </w:r>
          </w:p>
        </w:tc>
        <w:tc>
          <w:tcPr>
            <w:tcW w:w="998"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十七、援助其他地区支出</w:t>
            </w:r>
          </w:p>
        </w:tc>
        <w:tc>
          <w:tcPr>
            <w:tcW w:w="856" w:type="dxa"/>
            <w:tcBorders>
              <w:top w:val="single" w:sz="4" w:space="0" w:color="auto"/>
              <w:left w:val="nil"/>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十八、自然资源海洋气象等支出</w:t>
            </w:r>
          </w:p>
        </w:tc>
        <w:tc>
          <w:tcPr>
            <w:tcW w:w="856" w:type="dxa"/>
            <w:tcBorders>
              <w:top w:val="single" w:sz="4" w:space="0" w:color="auto"/>
              <w:left w:val="nil"/>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十九、住房保障支出</w:t>
            </w:r>
          </w:p>
        </w:tc>
        <w:tc>
          <w:tcPr>
            <w:tcW w:w="856" w:type="dxa"/>
            <w:tcBorders>
              <w:top w:val="single" w:sz="4" w:space="0" w:color="auto"/>
              <w:left w:val="nil"/>
              <w:bottom w:val="nil"/>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6.5</w:t>
            </w: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二十、粮油物资储备支出</w:t>
            </w:r>
          </w:p>
        </w:tc>
        <w:tc>
          <w:tcPr>
            <w:tcW w:w="856"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二十一、灾害防治及应急管理支出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二十二、预备费</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二十三、其他支出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二十四、转移性支出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二十五、债务还本支出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二十六、债务付息支出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nil"/>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99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二十七、债务发行费用支出</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kern w:val="0"/>
                <w:sz w:val="20"/>
                <w:szCs w:val="20"/>
              </w:rPr>
            </w:pPr>
            <w:r>
              <w:rPr>
                <w:rFonts w:ascii="Times New Roman" w:hAnsiTheme="minorEastAsia" w:cs="Times New Roman"/>
                <w:kern w:val="0"/>
                <w:sz w:val="20"/>
                <w:szCs w:val="20"/>
              </w:rPr>
              <w:t>本</w:t>
            </w:r>
            <w:r>
              <w:rPr>
                <w:rFonts w:ascii="Times New Roman" w:hAnsi="Times New Roman" w:cs="Times New Roman"/>
                <w:kern w:val="0"/>
                <w:sz w:val="20"/>
                <w:szCs w:val="20"/>
              </w:rPr>
              <w:t xml:space="preserve">  </w:t>
            </w:r>
            <w:r>
              <w:rPr>
                <w:rFonts w:ascii="Times New Roman" w:hAnsiTheme="minorEastAsia" w:cs="Times New Roman"/>
                <w:kern w:val="0"/>
                <w:sz w:val="20"/>
                <w:szCs w:val="20"/>
              </w:rPr>
              <w:t>年</w:t>
            </w:r>
            <w:r>
              <w:rPr>
                <w:rFonts w:ascii="Times New Roman" w:hAnsi="Times New Roman" w:cs="Times New Roman"/>
                <w:kern w:val="0"/>
                <w:sz w:val="20"/>
                <w:szCs w:val="20"/>
              </w:rPr>
              <w:t xml:space="preserve">  </w:t>
            </w:r>
            <w:r>
              <w:rPr>
                <w:rFonts w:ascii="Times New Roman" w:hAnsiTheme="minorEastAsia" w:cs="Times New Roman"/>
                <w:kern w:val="0"/>
                <w:sz w:val="20"/>
                <w:szCs w:val="20"/>
              </w:rPr>
              <w:t>收</w:t>
            </w:r>
            <w:r>
              <w:rPr>
                <w:rFonts w:ascii="Times New Roman" w:hAnsi="Times New Roman" w:cs="Times New Roman"/>
                <w:kern w:val="0"/>
                <w:sz w:val="20"/>
                <w:szCs w:val="20"/>
              </w:rPr>
              <w:t xml:space="preserve">  </w:t>
            </w:r>
            <w:r>
              <w:rPr>
                <w:rFonts w:ascii="Times New Roman" w:hAnsiTheme="minorEastAsia" w:cs="Times New Roman"/>
                <w:kern w:val="0"/>
                <w:sz w:val="20"/>
                <w:szCs w:val="20"/>
              </w:rPr>
              <w:t>入</w:t>
            </w:r>
            <w:r>
              <w:rPr>
                <w:rFonts w:ascii="Times New Roman" w:hAnsi="Times New Roman" w:cs="Times New Roman"/>
                <w:kern w:val="0"/>
                <w:sz w:val="20"/>
                <w:szCs w:val="20"/>
              </w:rPr>
              <w:t xml:space="preserve">  </w:t>
            </w:r>
            <w:r>
              <w:rPr>
                <w:rFonts w:ascii="Times New Roman" w:hAnsiTheme="minorEastAsia" w:cs="Times New Roman"/>
                <w:kern w:val="0"/>
                <w:sz w:val="20"/>
                <w:szCs w:val="20"/>
              </w:rPr>
              <w:t>小</w:t>
            </w:r>
            <w:r>
              <w:rPr>
                <w:rFonts w:ascii="Times New Roman" w:hAnsi="Times New Roman" w:cs="Times New Roman"/>
                <w:kern w:val="0"/>
                <w:sz w:val="20"/>
                <w:szCs w:val="20"/>
              </w:rPr>
              <w:t xml:space="preserve">  </w:t>
            </w:r>
            <w:r>
              <w:rPr>
                <w:rFonts w:ascii="Times New Roman" w:hAnsiTheme="minorEastAsia" w:cs="Times New Roman"/>
                <w:kern w:val="0"/>
                <w:sz w:val="20"/>
                <w:szCs w:val="20"/>
              </w:rPr>
              <w:t>计</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898.4</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kern w:val="0"/>
                <w:sz w:val="20"/>
                <w:szCs w:val="20"/>
              </w:rPr>
            </w:pPr>
            <w:r>
              <w:rPr>
                <w:rFonts w:ascii="Times New Roman" w:hAnsiTheme="minorEastAsia" w:cs="Times New Roman"/>
                <w:kern w:val="0"/>
                <w:sz w:val="20"/>
                <w:szCs w:val="20"/>
              </w:rPr>
              <w:t>本</w:t>
            </w:r>
            <w:r>
              <w:rPr>
                <w:rFonts w:ascii="Times New Roman" w:hAnsi="Times New Roman" w:cs="Times New Roman"/>
                <w:kern w:val="0"/>
                <w:sz w:val="20"/>
                <w:szCs w:val="20"/>
              </w:rPr>
              <w:t xml:space="preserve">  </w:t>
            </w:r>
            <w:r>
              <w:rPr>
                <w:rFonts w:ascii="Times New Roman" w:hAnsiTheme="minorEastAsia" w:cs="Times New Roman"/>
                <w:kern w:val="0"/>
                <w:sz w:val="20"/>
                <w:szCs w:val="20"/>
              </w:rPr>
              <w:t>年</w:t>
            </w:r>
            <w:r>
              <w:rPr>
                <w:rFonts w:ascii="Times New Roman" w:hAnsi="Times New Roman" w:cs="Times New Roman"/>
                <w:kern w:val="0"/>
                <w:sz w:val="20"/>
                <w:szCs w:val="20"/>
              </w:rPr>
              <w:t xml:space="preserve">  </w:t>
            </w:r>
            <w:r>
              <w:rPr>
                <w:rFonts w:ascii="Times New Roman" w:hAnsiTheme="minorEastAsia" w:cs="Times New Roman"/>
                <w:kern w:val="0"/>
                <w:sz w:val="20"/>
                <w:szCs w:val="20"/>
              </w:rPr>
              <w:t>支</w:t>
            </w:r>
            <w:r>
              <w:rPr>
                <w:rFonts w:ascii="Times New Roman" w:hAnsi="Times New Roman" w:cs="Times New Roman"/>
                <w:kern w:val="0"/>
                <w:sz w:val="20"/>
                <w:szCs w:val="20"/>
              </w:rPr>
              <w:t xml:space="preserve">  </w:t>
            </w:r>
            <w:r>
              <w:rPr>
                <w:rFonts w:ascii="Times New Roman" w:hAnsiTheme="minorEastAsia" w:cs="Times New Roman"/>
                <w:kern w:val="0"/>
                <w:sz w:val="20"/>
                <w:szCs w:val="20"/>
              </w:rPr>
              <w:t>出</w:t>
            </w:r>
            <w:r>
              <w:rPr>
                <w:rFonts w:ascii="Times New Roman" w:hAnsi="Times New Roman" w:cs="Times New Roman"/>
                <w:kern w:val="0"/>
                <w:sz w:val="20"/>
                <w:szCs w:val="20"/>
              </w:rPr>
              <w:t xml:space="preserve">  </w:t>
            </w:r>
            <w:r>
              <w:rPr>
                <w:rFonts w:ascii="Times New Roman" w:hAnsiTheme="minorEastAsia" w:cs="Times New Roman"/>
                <w:kern w:val="0"/>
                <w:sz w:val="20"/>
                <w:szCs w:val="20"/>
              </w:rPr>
              <w:t>小</w:t>
            </w:r>
            <w:r>
              <w:rPr>
                <w:rFonts w:ascii="Times New Roman" w:hAnsi="Times New Roman" w:cs="Times New Roman"/>
                <w:kern w:val="0"/>
                <w:sz w:val="20"/>
                <w:szCs w:val="20"/>
              </w:rPr>
              <w:t xml:space="preserve">  </w:t>
            </w:r>
            <w:r>
              <w:rPr>
                <w:rFonts w:ascii="Times New Roman" w:hAnsiTheme="minorEastAsia" w:cs="Times New Roman"/>
                <w:kern w:val="0"/>
                <w:sz w:val="20"/>
                <w:szCs w:val="20"/>
              </w:rPr>
              <w:t>计</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913.1</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上年结转结余</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14.7</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heme="minorEastAsia" w:cs="Times New Roman"/>
                <w:kern w:val="0"/>
                <w:sz w:val="20"/>
                <w:szCs w:val="20"/>
              </w:rPr>
              <w:t>结转下年</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一般公共预算</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14.7</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一般公共预算</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政府性基金预算</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政府性基金预算</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国有资本经营预算</w:t>
            </w:r>
          </w:p>
        </w:tc>
        <w:tc>
          <w:tcPr>
            <w:tcW w:w="998" w:type="dxa"/>
            <w:tcBorders>
              <w:top w:val="nil"/>
              <w:left w:val="nil"/>
              <w:bottom w:val="single" w:sz="4" w:space="0" w:color="auto"/>
              <w:right w:val="single" w:sz="4" w:space="0" w:color="auto"/>
            </w:tcBorders>
            <w:shd w:val="clear" w:color="auto" w:fill="auto"/>
            <w:vAlign w:val="bottom"/>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国有资本经营预算</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财政专户管理资金</w:t>
            </w:r>
          </w:p>
        </w:tc>
        <w:tc>
          <w:tcPr>
            <w:tcW w:w="998" w:type="dxa"/>
            <w:tcBorders>
              <w:top w:val="nil"/>
              <w:left w:val="nil"/>
              <w:bottom w:val="single" w:sz="4" w:space="0" w:color="auto"/>
              <w:right w:val="single" w:sz="4" w:space="0" w:color="auto"/>
            </w:tcBorders>
            <w:shd w:val="clear" w:color="auto" w:fill="auto"/>
            <w:vAlign w:val="bottom"/>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财政专户管理资金</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单位资金</w:t>
            </w:r>
          </w:p>
        </w:tc>
        <w:tc>
          <w:tcPr>
            <w:tcW w:w="998" w:type="dxa"/>
            <w:tcBorders>
              <w:top w:val="nil"/>
              <w:left w:val="nil"/>
              <w:bottom w:val="single" w:sz="4" w:space="0" w:color="auto"/>
              <w:right w:val="single" w:sz="4" w:space="0" w:color="auto"/>
            </w:tcBorders>
            <w:shd w:val="clear" w:color="auto" w:fill="auto"/>
            <w:vAlign w:val="bottom"/>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heme="minorEastAsia" w:cs="Times New Roman"/>
                <w:kern w:val="0"/>
                <w:sz w:val="20"/>
                <w:szCs w:val="20"/>
              </w:rPr>
              <w:t>单位资金</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heme="minorEastAsia" w:cs="Times New Roman"/>
                <w:kern w:val="0"/>
                <w:sz w:val="20"/>
                <w:szCs w:val="20"/>
              </w:rPr>
              <w:t xml:space="preserve">　</w:t>
            </w:r>
          </w:p>
        </w:tc>
      </w:tr>
      <w:tr w:rsidR="006B35AF">
        <w:trPr>
          <w:cantSplit/>
          <w:trHeight w:val="567"/>
          <w:jc w:val="center"/>
        </w:trPr>
        <w:tc>
          <w:tcPr>
            <w:tcW w:w="3422"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bCs/>
                <w:kern w:val="0"/>
                <w:sz w:val="20"/>
                <w:szCs w:val="20"/>
              </w:rPr>
            </w:pPr>
            <w:r>
              <w:rPr>
                <w:rFonts w:ascii="Times New Roman" w:hAnsiTheme="minorEastAsia" w:cs="Times New Roman"/>
                <w:b/>
                <w:bCs/>
                <w:kern w:val="0"/>
                <w:sz w:val="20"/>
                <w:szCs w:val="20"/>
              </w:rPr>
              <w:t>收</w:t>
            </w:r>
            <w:r>
              <w:rPr>
                <w:rFonts w:ascii="Times New Roman" w:hAnsi="Times New Roman" w:cs="Times New Roman"/>
                <w:b/>
                <w:bCs/>
                <w:kern w:val="0"/>
                <w:sz w:val="20"/>
                <w:szCs w:val="20"/>
              </w:rPr>
              <w:t xml:space="preserve">   </w:t>
            </w:r>
            <w:r>
              <w:rPr>
                <w:rFonts w:ascii="Times New Roman" w:hAnsiTheme="minorEastAsia" w:cs="Times New Roman"/>
                <w:b/>
                <w:bCs/>
                <w:kern w:val="0"/>
                <w:sz w:val="20"/>
                <w:szCs w:val="20"/>
              </w:rPr>
              <w:t>入</w:t>
            </w:r>
            <w:r>
              <w:rPr>
                <w:rFonts w:ascii="Times New Roman" w:hAnsi="Times New Roman" w:cs="Times New Roman"/>
                <w:b/>
                <w:bCs/>
                <w:kern w:val="0"/>
                <w:sz w:val="20"/>
                <w:szCs w:val="20"/>
              </w:rPr>
              <w:t xml:space="preserve">   </w:t>
            </w:r>
            <w:r>
              <w:rPr>
                <w:rFonts w:ascii="Times New Roman" w:hAnsiTheme="minorEastAsia" w:cs="Times New Roman"/>
                <w:b/>
                <w:bCs/>
                <w:kern w:val="0"/>
                <w:sz w:val="20"/>
                <w:szCs w:val="20"/>
              </w:rPr>
              <w:t>总</w:t>
            </w:r>
            <w:r>
              <w:rPr>
                <w:rFonts w:ascii="Times New Roman" w:hAnsi="Times New Roman" w:cs="Times New Roman"/>
                <w:b/>
                <w:bCs/>
                <w:kern w:val="0"/>
                <w:sz w:val="20"/>
                <w:szCs w:val="20"/>
              </w:rPr>
              <w:t xml:space="preserve">   </w:t>
            </w:r>
            <w:r>
              <w:rPr>
                <w:rFonts w:ascii="Times New Roman" w:hAnsiTheme="minorEastAsia" w:cs="Times New Roman"/>
                <w:b/>
                <w:bCs/>
                <w:kern w:val="0"/>
                <w:sz w:val="20"/>
                <w:szCs w:val="20"/>
              </w:rPr>
              <w:t>计</w:t>
            </w:r>
          </w:p>
        </w:tc>
        <w:tc>
          <w:tcPr>
            <w:tcW w:w="99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913.1</w:t>
            </w:r>
            <w:r>
              <w:rPr>
                <w:rFonts w:ascii="Times New Roman" w:hAnsiTheme="minorEastAsia" w:cs="Times New Roman"/>
                <w:kern w:val="0"/>
                <w:sz w:val="20"/>
                <w:szCs w:val="20"/>
              </w:rPr>
              <w:t xml:space="preserve">　</w:t>
            </w:r>
          </w:p>
        </w:tc>
        <w:tc>
          <w:tcPr>
            <w:tcW w:w="3184"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hAnsi="Times New Roman" w:cs="Times New Roman"/>
                <w:b/>
                <w:bCs/>
                <w:kern w:val="0"/>
                <w:sz w:val="20"/>
                <w:szCs w:val="20"/>
              </w:rPr>
            </w:pPr>
            <w:r>
              <w:rPr>
                <w:rFonts w:ascii="Times New Roman" w:hAnsiTheme="minorEastAsia" w:cs="Times New Roman"/>
                <w:b/>
                <w:bCs/>
                <w:kern w:val="0"/>
                <w:sz w:val="20"/>
                <w:szCs w:val="20"/>
              </w:rPr>
              <w:t>支　出</w:t>
            </w:r>
            <w:r>
              <w:rPr>
                <w:rFonts w:ascii="Times New Roman" w:hAnsi="Times New Roman" w:cs="Times New Roman"/>
                <w:b/>
                <w:bCs/>
                <w:kern w:val="0"/>
                <w:sz w:val="20"/>
                <w:szCs w:val="20"/>
              </w:rPr>
              <w:t xml:space="preserve">  </w:t>
            </w:r>
            <w:r>
              <w:rPr>
                <w:rFonts w:ascii="Times New Roman" w:hAnsiTheme="minorEastAsia" w:cs="Times New Roman"/>
                <w:b/>
                <w:bCs/>
                <w:kern w:val="0"/>
                <w:sz w:val="20"/>
                <w:szCs w:val="20"/>
              </w:rPr>
              <w:t>总　计</w:t>
            </w:r>
          </w:p>
        </w:tc>
        <w:tc>
          <w:tcPr>
            <w:tcW w:w="856"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hAnsi="Times New Roman" w:cs="Times New Roman"/>
                <w:kern w:val="0"/>
                <w:sz w:val="20"/>
                <w:szCs w:val="20"/>
              </w:rPr>
            </w:pPr>
            <w:r>
              <w:rPr>
                <w:rFonts w:ascii="Times New Roman" w:hAnsi="Times New Roman" w:cs="Times New Roman"/>
                <w:kern w:val="0"/>
                <w:sz w:val="20"/>
                <w:szCs w:val="20"/>
              </w:rPr>
              <w:t>913.1</w:t>
            </w:r>
            <w:r>
              <w:rPr>
                <w:rFonts w:ascii="Times New Roman" w:hAnsiTheme="minorEastAsia" w:cs="Times New Roman"/>
                <w:kern w:val="0"/>
                <w:sz w:val="20"/>
                <w:szCs w:val="20"/>
              </w:rPr>
              <w:t xml:space="preserve">　</w:t>
            </w:r>
          </w:p>
        </w:tc>
      </w:tr>
    </w:tbl>
    <w:p w:rsidR="006B35AF" w:rsidRDefault="006B35AF">
      <w:pPr>
        <w:rPr>
          <w:rFonts w:ascii="Times New Roman" w:hAnsi="Times New Roman" w:cs="Times New Roman"/>
          <w:kern w:val="0"/>
          <w:sz w:val="20"/>
          <w:szCs w:val="20"/>
        </w:rPr>
        <w:sectPr w:rsidR="006B35AF">
          <w:footerReference w:type="default" r:id="rId8"/>
          <w:pgSz w:w="11906" w:h="16838"/>
          <w:pgMar w:top="1928" w:right="1531" w:bottom="1814" w:left="1531" w:header="851" w:footer="992" w:gutter="0"/>
          <w:cols w:space="425"/>
          <w:docGrid w:linePitch="312"/>
        </w:sectPr>
      </w:pPr>
    </w:p>
    <w:p w:rsidR="006B35AF" w:rsidRDefault="00570D47">
      <w:pPr>
        <w:spacing w:line="600" w:lineRule="exact"/>
        <w:jc w:val="righ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Times New Roman" w:cs="Times New Roman" w:hint="eastAsia"/>
          <w:kern w:val="0"/>
          <w:sz w:val="20"/>
          <w:szCs w:val="20"/>
        </w:rPr>
        <w:t>单位</w:t>
      </w:r>
      <w:r>
        <w:rPr>
          <w:rFonts w:ascii="Times New Roman" w:hAnsi="Times New Roman" w:cs="Times New Roman"/>
          <w:kern w:val="0"/>
          <w:sz w:val="20"/>
          <w:szCs w:val="20"/>
        </w:rPr>
        <w:t>公开表</w:t>
      </w:r>
      <w:r>
        <w:rPr>
          <w:rFonts w:ascii="Times New Roman" w:hAnsi="Times New Roman" w:cs="Times New Roman"/>
          <w:kern w:val="0"/>
          <w:sz w:val="20"/>
          <w:szCs w:val="20"/>
        </w:rPr>
        <w:t>2</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收入总表</w:t>
      </w: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imes New Roman" w:cs="Times New Roman"/>
          <w:kern w:val="0"/>
          <w:sz w:val="20"/>
          <w:szCs w:val="20"/>
        </w:rPr>
        <w:t>单位：万元</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
        <w:gridCol w:w="930"/>
        <w:gridCol w:w="930"/>
        <w:gridCol w:w="930"/>
        <w:gridCol w:w="662"/>
        <w:gridCol w:w="662"/>
        <w:gridCol w:w="712"/>
        <w:gridCol w:w="662"/>
        <w:gridCol w:w="662"/>
        <w:gridCol w:w="662"/>
        <w:gridCol w:w="662"/>
        <w:gridCol w:w="662"/>
        <w:gridCol w:w="662"/>
        <w:gridCol w:w="836"/>
        <w:gridCol w:w="853"/>
        <w:gridCol w:w="662"/>
        <w:gridCol w:w="662"/>
        <w:gridCol w:w="662"/>
        <w:gridCol w:w="662"/>
      </w:tblGrid>
      <w:tr w:rsidR="006B35AF">
        <w:trPr>
          <w:trHeight w:val="420"/>
          <w:tblHeader/>
          <w:jc w:val="center"/>
        </w:trPr>
        <w:tc>
          <w:tcPr>
            <w:tcW w:w="1607"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部门（单位）名称</w:t>
            </w:r>
          </w:p>
        </w:tc>
        <w:tc>
          <w:tcPr>
            <w:tcW w:w="93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合计</w:t>
            </w:r>
          </w:p>
        </w:tc>
        <w:tc>
          <w:tcPr>
            <w:tcW w:w="7868" w:type="dxa"/>
            <w:gridSpan w:val="11"/>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本年收入</w:t>
            </w:r>
          </w:p>
        </w:tc>
        <w:tc>
          <w:tcPr>
            <w:tcW w:w="4337" w:type="dxa"/>
            <w:gridSpan w:val="6"/>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上年结转结余</w:t>
            </w:r>
          </w:p>
        </w:tc>
      </w:tr>
      <w:tr w:rsidR="006B35AF">
        <w:trPr>
          <w:trHeight w:val="420"/>
          <w:tblHeader/>
          <w:jc w:val="center"/>
        </w:trPr>
        <w:tc>
          <w:tcPr>
            <w:tcW w:w="1607"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3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3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小计</w:t>
            </w:r>
          </w:p>
        </w:tc>
        <w:tc>
          <w:tcPr>
            <w:tcW w:w="93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一般公共预算</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政府性基金预算</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国有资本经营预算</w:t>
            </w:r>
          </w:p>
        </w:tc>
        <w:tc>
          <w:tcPr>
            <w:tcW w:w="71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财政专户管理资金</w:t>
            </w:r>
          </w:p>
        </w:tc>
        <w:tc>
          <w:tcPr>
            <w:tcW w:w="3972" w:type="dxa"/>
            <w:gridSpan w:val="6"/>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单位资金</w:t>
            </w:r>
          </w:p>
        </w:tc>
        <w:tc>
          <w:tcPr>
            <w:tcW w:w="836"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小计</w:t>
            </w:r>
          </w:p>
        </w:tc>
        <w:tc>
          <w:tcPr>
            <w:tcW w:w="853"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一般公共预算</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政府性基金预算</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国有资本经营预算</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财政专户管理资金</w:t>
            </w:r>
          </w:p>
        </w:tc>
        <w:tc>
          <w:tcPr>
            <w:tcW w:w="662"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单位资金</w:t>
            </w:r>
          </w:p>
        </w:tc>
      </w:tr>
      <w:tr w:rsidR="006B35AF">
        <w:trPr>
          <w:trHeight w:val="1080"/>
          <w:tblHeader/>
          <w:jc w:val="center"/>
        </w:trPr>
        <w:tc>
          <w:tcPr>
            <w:tcW w:w="1607"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3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3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3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71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小计</w:t>
            </w: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事业收入</w:t>
            </w: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事业单位经营收入</w:t>
            </w: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上级补助收入</w:t>
            </w: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附属单位上缴收入</w:t>
            </w:r>
          </w:p>
        </w:tc>
        <w:tc>
          <w:tcPr>
            <w:tcW w:w="662"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其他收入</w:t>
            </w:r>
          </w:p>
        </w:tc>
        <w:tc>
          <w:tcPr>
            <w:tcW w:w="836"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853"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662" w:type="dxa"/>
            <w:vMerge/>
            <w:vAlign w:val="center"/>
          </w:tcPr>
          <w:p w:rsidR="006B35AF" w:rsidRDefault="006B35AF">
            <w:pPr>
              <w:widowControl/>
              <w:jc w:val="left"/>
              <w:rPr>
                <w:rFonts w:ascii="Times New Roman" w:hAnsi="Times New Roman" w:cs="Times New Roman"/>
                <w:b/>
                <w:bCs/>
                <w:color w:val="000000"/>
                <w:kern w:val="0"/>
                <w:sz w:val="20"/>
                <w:szCs w:val="20"/>
              </w:rPr>
            </w:pPr>
          </w:p>
        </w:tc>
      </w:tr>
      <w:tr w:rsidR="006B35AF">
        <w:trPr>
          <w:trHeight w:val="570"/>
          <w:jc w:val="center"/>
        </w:trPr>
        <w:tc>
          <w:tcPr>
            <w:tcW w:w="1607"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安徽生物工程学校</w:t>
            </w:r>
          </w:p>
        </w:tc>
        <w:tc>
          <w:tcPr>
            <w:tcW w:w="930"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913.1</w:t>
            </w:r>
          </w:p>
        </w:tc>
        <w:tc>
          <w:tcPr>
            <w:tcW w:w="930"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898.4</w:t>
            </w:r>
          </w:p>
        </w:tc>
        <w:tc>
          <w:tcPr>
            <w:tcW w:w="930"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877.9</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71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20.5</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836"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14.7</w:t>
            </w:r>
          </w:p>
        </w:tc>
        <w:tc>
          <w:tcPr>
            <w:tcW w:w="853"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14.7</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662" w:type="dxa"/>
            <w:shd w:val="clear" w:color="auto" w:fill="auto"/>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r>
    </w:tbl>
    <w:p w:rsidR="006B35AF" w:rsidRDefault="006B35AF">
      <w:pPr>
        <w:rPr>
          <w:rFonts w:ascii="Times New Roman" w:hAnsi="Times New Roman" w:cs="Times New Roman"/>
          <w:kern w:val="0"/>
          <w:sz w:val="20"/>
          <w:szCs w:val="20"/>
        </w:rPr>
      </w:pPr>
    </w:p>
    <w:p w:rsidR="006B35AF" w:rsidRDefault="006B35AF">
      <w:pPr>
        <w:rPr>
          <w:rFonts w:ascii="Times New Roman" w:hAnsi="Times New Roman" w:cs="Times New Roman"/>
          <w:kern w:val="0"/>
          <w:sz w:val="20"/>
          <w:szCs w:val="20"/>
        </w:rPr>
      </w:pPr>
    </w:p>
    <w:p w:rsidR="006B35AF" w:rsidRDefault="006B35AF">
      <w:pPr>
        <w:rPr>
          <w:rFonts w:ascii="Times New Roman" w:hAnsi="Times New Roman" w:cs="Times New Roman"/>
        </w:rPr>
        <w:sectPr w:rsidR="006B35AF">
          <w:pgSz w:w="16838" w:h="11906" w:orient="landscape"/>
          <w:pgMar w:top="1797" w:right="1440" w:bottom="1797" w:left="1440" w:header="851" w:footer="992" w:gutter="0"/>
          <w:cols w:space="425"/>
          <w:docGrid w:linePitch="312"/>
        </w:sectPr>
      </w:pP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宋体" w:cs="Times New Roman"/>
          <w:kern w:val="0"/>
          <w:sz w:val="20"/>
          <w:szCs w:val="20"/>
        </w:rPr>
        <w:t>单位公开表</w:t>
      </w:r>
      <w:r>
        <w:rPr>
          <w:rFonts w:ascii="Times New Roman" w:hAnsi="Times New Roman" w:cs="Times New Roman"/>
          <w:kern w:val="0"/>
          <w:sz w:val="20"/>
          <w:szCs w:val="20"/>
        </w:rPr>
        <w:t>3</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支出总表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宋体" w:cs="Times New Roman"/>
          <w:kern w:val="0"/>
          <w:sz w:val="20"/>
          <w:szCs w:val="20"/>
        </w:rPr>
        <w:t>单位：万元</w:t>
      </w:r>
    </w:p>
    <w:tbl>
      <w:tblPr>
        <w:tblW w:w="9072" w:type="dxa"/>
        <w:jc w:val="center"/>
        <w:tblLayout w:type="fixed"/>
        <w:tblLook w:val="04A0"/>
      </w:tblPr>
      <w:tblGrid>
        <w:gridCol w:w="1441"/>
        <w:gridCol w:w="2448"/>
        <w:gridCol w:w="720"/>
        <w:gridCol w:w="719"/>
        <w:gridCol w:w="864"/>
        <w:gridCol w:w="1008"/>
        <w:gridCol w:w="864"/>
        <w:gridCol w:w="1008"/>
      </w:tblGrid>
      <w:tr w:rsidR="006B35AF">
        <w:trPr>
          <w:trHeight w:val="56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科目编码</w:t>
            </w:r>
          </w:p>
        </w:tc>
        <w:tc>
          <w:tcPr>
            <w:tcW w:w="2410"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科目名称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合计</w:t>
            </w:r>
          </w:p>
        </w:tc>
        <w:tc>
          <w:tcPr>
            <w:tcW w:w="708"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基本支出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项目支出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事业单位经营支出</w:t>
            </w:r>
          </w:p>
        </w:tc>
        <w:tc>
          <w:tcPr>
            <w:tcW w:w="851"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上缴上级支出</w:t>
            </w:r>
          </w:p>
        </w:tc>
        <w:tc>
          <w:tcPr>
            <w:tcW w:w="992"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对附属单位补助支出</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教育支出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777.6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634.9</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20503</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职业教育</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777.6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634.9</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2050302</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中等职业教育</w:t>
            </w:r>
            <w:r>
              <w:rPr>
                <w:rFonts w:ascii="Times New Roman" w:eastAsia="宋体" w:hAnsi="Times New Roman" w:cs="Times New Roman"/>
                <w:color w:val="000000"/>
                <w:kern w:val="0"/>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777.6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634.9</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社会保障和就业支出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20805</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行政事业单位养老支出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2080502</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事业单位离退休</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卫生健康支出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21011</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行政事业单位医疗</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2101102</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事业单位医疗</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住房保障支出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22102</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住房改革支出</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2210202</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提租补贴</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p>
        </w:tc>
        <w:tc>
          <w:tcPr>
            <w:tcW w:w="851" w:type="dxa"/>
            <w:tcBorders>
              <w:top w:val="nil"/>
              <w:left w:val="nil"/>
              <w:bottom w:val="single" w:sz="4" w:space="0" w:color="auto"/>
              <w:right w:val="single" w:sz="4" w:space="0" w:color="auto"/>
            </w:tcBorders>
            <w:shd w:val="clear" w:color="auto" w:fill="auto"/>
            <w:vAlign w:val="center"/>
          </w:tcPr>
          <w:p w:rsidR="006B35AF" w:rsidRDefault="006B35AF">
            <w:pPr>
              <w:widowControl/>
              <w:jc w:val="right"/>
              <w:rPr>
                <w:rFonts w:ascii="Times New Roman" w:eastAsia="宋体" w:hAnsi="Times New Roman" w:cs="Times New Roman"/>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B35AF" w:rsidRDefault="006B35AF">
            <w:pPr>
              <w:widowControl/>
              <w:jc w:val="right"/>
              <w:rPr>
                <w:rFonts w:ascii="Times New Roman" w:eastAsia="宋体" w:hAnsi="Times New Roman" w:cs="Times New Roman"/>
                <w:color w:val="000000"/>
                <w:kern w:val="0"/>
                <w:sz w:val="20"/>
                <w:szCs w:val="20"/>
              </w:rPr>
            </w:pPr>
          </w:p>
        </w:tc>
        <w:tc>
          <w:tcPr>
            <w:tcW w:w="851" w:type="dxa"/>
            <w:tcBorders>
              <w:top w:val="nil"/>
              <w:left w:val="nil"/>
              <w:bottom w:val="single" w:sz="4" w:space="0" w:color="auto"/>
              <w:right w:val="single" w:sz="4" w:space="0" w:color="auto"/>
            </w:tcBorders>
            <w:shd w:val="clear" w:color="auto" w:fill="auto"/>
            <w:vAlign w:val="center"/>
          </w:tcPr>
          <w:p w:rsidR="006B35AF" w:rsidRDefault="006B35AF">
            <w:pPr>
              <w:widowControl/>
              <w:jc w:val="right"/>
              <w:rPr>
                <w:rFonts w:ascii="Times New Roman" w:eastAsia="宋体" w:hAnsi="Times New Roman" w:cs="Times New Roman"/>
                <w:color w:val="000000"/>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B35AF" w:rsidRDefault="006B35AF">
            <w:pPr>
              <w:widowControl/>
              <w:jc w:val="right"/>
              <w:rPr>
                <w:rFonts w:ascii="Times New Roman" w:eastAsia="宋体" w:hAnsi="Times New Roman" w:cs="Times New Roman"/>
                <w:color w:val="000000"/>
                <w:kern w:val="0"/>
                <w:sz w:val="20"/>
                <w:szCs w:val="20"/>
              </w:rPr>
            </w:pPr>
          </w:p>
        </w:tc>
      </w:tr>
      <w:tr w:rsidR="006B35AF">
        <w:trPr>
          <w:trHeight w:val="56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合计</w:t>
            </w:r>
          </w:p>
        </w:tc>
        <w:tc>
          <w:tcPr>
            <w:tcW w:w="70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913.1</w:t>
            </w:r>
            <w:r>
              <w:rPr>
                <w:rFonts w:ascii="Times New Roman" w:eastAsia="宋体" w:hAnsi="Times New Roman" w:cs="Times New Roman"/>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770.4</w:t>
            </w: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 xml:space="preserve">　</w:t>
            </w:r>
          </w:p>
        </w:tc>
      </w:tr>
    </w:tbl>
    <w:p w:rsidR="006B35AF" w:rsidRDefault="006B35AF">
      <w:pPr>
        <w:rPr>
          <w:rFonts w:ascii="Times New Roman" w:hAnsi="Times New Roman" w:cs="Times New Roman"/>
          <w:sz w:val="20"/>
          <w:szCs w:val="20"/>
        </w:rPr>
      </w:pPr>
    </w:p>
    <w:p w:rsidR="006B35AF" w:rsidRDefault="006B35AF">
      <w:pPr>
        <w:rPr>
          <w:rFonts w:ascii="Times New Roman" w:hAnsi="Times New Roman" w:cs="Times New Roman"/>
          <w:sz w:val="20"/>
          <w:szCs w:val="20"/>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宋体" w:cs="Times New Roman"/>
          <w:kern w:val="0"/>
          <w:sz w:val="20"/>
          <w:szCs w:val="20"/>
        </w:rPr>
        <w:t>单位公开表</w:t>
      </w:r>
      <w:r>
        <w:rPr>
          <w:rFonts w:ascii="Times New Roman" w:hAnsi="Times New Roman" w:cs="Times New Roman"/>
          <w:kern w:val="0"/>
          <w:sz w:val="20"/>
          <w:szCs w:val="20"/>
        </w:rPr>
        <w:t>4</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财政拨款收支总表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宋体" w:cs="Times New Roman"/>
          <w:kern w:val="0"/>
          <w:sz w:val="20"/>
          <w:szCs w:val="20"/>
        </w:rPr>
        <w:t>单位：万元</w:t>
      </w:r>
    </w:p>
    <w:tbl>
      <w:tblPr>
        <w:tblW w:w="9072" w:type="dxa"/>
        <w:jc w:val="center"/>
        <w:tblLayout w:type="fixed"/>
        <w:tblLook w:val="04A0"/>
      </w:tblPr>
      <w:tblGrid>
        <w:gridCol w:w="2930"/>
        <w:gridCol w:w="1142"/>
        <w:gridCol w:w="3738"/>
        <w:gridCol w:w="1262"/>
      </w:tblGrid>
      <w:tr w:rsidR="006B35AF">
        <w:trPr>
          <w:trHeight w:val="567"/>
          <w:tblHeader/>
          <w:jc w:val="center"/>
        </w:trPr>
        <w:tc>
          <w:tcPr>
            <w:tcW w:w="37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收</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入</w:t>
            </w:r>
          </w:p>
        </w:tc>
        <w:tc>
          <w:tcPr>
            <w:tcW w:w="4639"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支</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出</w:t>
            </w:r>
          </w:p>
        </w:tc>
      </w:tr>
      <w:tr w:rsidR="006B35AF">
        <w:trPr>
          <w:trHeight w:val="567"/>
          <w:tblHeader/>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项目</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预算数</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项目</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预算数</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一、本年收入</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877.9</w:t>
            </w: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一、本年支出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892.6</w:t>
            </w: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877.9</w:t>
            </w: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（一）一般公共服务支出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（二）外交支出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（三）国防支出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jc w:val="left"/>
              <w:rPr>
                <w:rFonts w:ascii="Times New Roman" w:eastAsia="宋体" w:hAnsi="Times New Roman" w:cs="Times New Roman"/>
                <w:color w:val="000000"/>
                <w:kern w:val="0"/>
                <w:sz w:val="20"/>
                <w:szCs w:val="20"/>
              </w:rPr>
            </w:pP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（四）公共安全支出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二、上年结转</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14.7</w:t>
            </w: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（五）教育支出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757.1</w:t>
            </w: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（一）一般公共预算拨款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14.7</w:t>
            </w: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（六）科学技术支出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（二）政府性基金预算拨款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（七）文化旅游体育与传媒支出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（三）国有资本经营预算拨款</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（八）社会保障和就业支出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（九）卫生健康支出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（十）节能环保支出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（十一）城乡社区支出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（十二）农林水支出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nil"/>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（十三）交通运输支出</w:t>
            </w:r>
          </w:p>
        </w:tc>
        <w:tc>
          <w:tcPr>
            <w:tcW w:w="1171"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（十四）资源勘探工业信息等支出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（十五）商业服务业等支出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（十六）金融支出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lastRenderedPageBreak/>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（十七）援助其他地区支出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（十八）自然资源海洋气象等支出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（十九）住房保障支出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（二十）粮油物资储备支出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（二十一）灾害防治及应急管理支出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（二十二）预备费</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（二十三）其他支出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（二十四）转移性支出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（二十五）债务还本支出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（二十六）债务付息支出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（二十七）债务发行费用支出</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二、年终结转结余</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（一）一般公共预算结转结余</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（二）政府性基金预算结转结余</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（三）国有资本经营预算结转结余</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宋体" w:cs="Times New Roman"/>
                <w:color w:val="000000"/>
                <w:kern w:val="0"/>
                <w:sz w:val="20"/>
                <w:szCs w:val="20"/>
              </w:rPr>
              <w:t xml:space="preserve">　</w:t>
            </w:r>
          </w:p>
        </w:tc>
      </w:tr>
      <w:tr w:rsidR="006B35AF">
        <w:trPr>
          <w:trHeight w:val="567"/>
          <w:jc w:val="center"/>
        </w:trPr>
        <w:tc>
          <w:tcPr>
            <w:tcW w:w="2718"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收</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入</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总</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计</w:t>
            </w:r>
          </w:p>
        </w:tc>
        <w:tc>
          <w:tcPr>
            <w:tcW w:w="1059"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892.6</w:t>
            </w:r>
            <w:r>
              <w:rPr>
                <w:rFonts w:ascii="Times New Roman" w:eastAsia="宋体" w:hAnsi="宋体" w:cs="Times New Roman"/>
                <w:bCs/>
                <w:color w:val="000000"/>
                <w:kern w:val="0"/>
                <w:sz w:val="20"/>
                <w:szCs w:val="20"/>
              </w:rPr>
              <w:t xml:space="preserve">　</w:t>
            </w:r>
          </w:p>
        </w:tc>
        <w:tc>
          <w:tcPr>
            <w:tcW w:w="346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宋体" w:cs="Times New Roman"/>
                <w:b/>
                <w:bCs/>
                <w:color w:val="000000"/>
                <w:kern w:val="0"/>
                <w:sz w:val="20"/>
                <w:szCs w:val="20"/>
              </w:rPr>
              <w:t>支</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出</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总</w:t>
            </w:r>
            <w:r>
              <w:rPr>
                <w:rFonts w:ascii="Times New Roman" w:eastAsia="宋体" w:hAnsi="Times New Roman" w:cs="Times New Roman"/>
                <w:b/>
                <w:bCs/>
                <w:color w:val="000000"/>
                <w:kern w:val="0"/>
                <w:sz w:val="20"/>
                <w:szCs w:val="20"/>
              </w:rPr>
              <w:t xml:space="preserve">    </w:t>
            </w:r>
            <w:r>
              <w:rPr>
                <w:rFonts w:ascii="Times New Roman" w:eastAsia="宋体" w:hAnsi="宋体" w:cs="Times New Roman"/>
                <w:b/>
                <w:bCs/>
                <w:color w:val="000000"/>
                <w:kern w:val="0"/>
                <w:sz w:val="20"/>
                <w:szCs w:val="20"/>
              </w:rPr>
              <w:t>计</w:t>
            </w:r>
          </w:p>
        </w:tc>
        <w:tc>
          <w:tcPr>
            <w:tcW w:w="1171"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892.6</w:t>
            </w:r>
            <w:r>
              <w:rPr>
                <w:rFonts w:ascii="Times New Roman" w:eastAsia="宋体" w:hAnsi="宋体" w:cs="Times New Roman"/>
                <w:color w:val="000000"/>
                <w:kern w:val="0"/>
                <w:sz w:val="20"/>
                <w:szCs w:val="20"/>
              </w:rPr>
              <w:t xml:space="preserve">　</w:t>
            </w:r>
          </w:p>
        </w:tc>
      </w:tr>
    </w:tbl>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6B35AF">
      <w:pPr>
        <w:ind w:firstLineChars="3150" w:firstLine="6300"/>
        <w:rPr>
          <w:rFonts w:ascii="Times New Roman" w:hAnsi="Times New Roman" w:cs="Times New Roman"/>
          <w:kern w:val="0"/>
          <w:sz w:val="20"/>
          <w:szCs w:val="20"/>
        </w:rPr>
      </w:pPr>
    </w:p>
    <w:p w:rsidR="006B35AF" w:rsidRDefault="00570D47">
      <w:pPr>
        <w:spacing w:line="600" w:lineRule="exact"/>
        <w:jc w:val="right"/>
        <w:rPr>
          <w:rFonts w:ascii="Times New Roman" w:hAnsi="Times New Roman" w:cs="Times New Roman"/>
          <w:kern w:val="0"/>
          <w:sz w:val="20"/>
          <w:szCs w:val="20"/>
        </w:rPr>
      </w:pPr>
      <w:r>
        <w:rPr>
          <w:rFonts w:ascii="Times New Roman" w:hAnsi="Times New Roman" w:cs="Times New Roman"/>
          <w:kern w:val="0"/>
          <w:sz w:val="20"/>
          <w:szCs w:val="20"/>
        </w:rPr>
        <w:lastRenderedPageBreak/>
        <w:t>单位公开表</w:t>
      </w:r>
      <w:r>
        <w:rPr>
          <w:rFonts w:ascii="Times New Roman" w:hAnsi="Times New Roman" w:cs="Times New Roman"/>
          <w:kern w:val="0"/>
          <w:sz w:val="20"/>
          <w:szCs w:val="20"/>
        </w:rPr>
        <w:t>5</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一般公共预算支出表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imes New Roman" w:cs="Times New Roman"/>
          <w:kern w:val="0"/>
          <w:sz w:val="20"/>
          <w:szCs w:val="20"/>
        </w:rPr>
        <w:t>单位：万元</w:t>
      </w:r>
    </w:p>
    <w:tbl>
      <w:tblPr>
        <w:tblW w:w="9080" w:type="dxa"/>
        <w:jc w:val="center"/>
        <w:tblLayout w:type="fixed"/>
        <w:tblLook w:val="04A0"/>
      </w:tblPr>
      <w:tblGrid>
        <w:gridCol w:w="1426"/>
        <w:gridCol w:w="2030"/>
        <w:gridCol w:w="1124"/>
        <w:gridCol w:w="1125"/>
        <w:gridCol w:w="1125"/>
        <w:gridCol w:w="1125"/>
        <w:gridCol w:w="1125"/>
      </w:tblGrid>
      <w:tr w:rsidR="006B35AF">
        <w:trPr>
          <w:trHeight w:val="567"/>
          <w:jc w:val="center"/>
        </w:trPr>
        <w:tc>
          <w:tcPr>
            <w:tcW w:w="1426" w:type="dxa"/>
            <w:vMerge w:val="restart"/>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科目编码</w:t>
            </w:r>
          </w:p>
        </w:tc>
        <w:tc>
          <w:tcPr>
            <w:tcW w:w="2030" w:type="dxa"/>
            <w:vMerge w:val="restart"/>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科目名称</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合计</w:t>
            </w:r>
          </w:p>
        </w:tc>
        <w:tc>
          <w:tcPr>
            <w:tcW w:w="3375" w:type="dxa"/>
            <w:gridSpan w:val="3"/>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基本支出</w:t>
            </w:r>
          </w:p>
        </w:tc>
        <w:tc>
          <w:tcPr>
            <w:tcW w:w="1125" w:type="dxa"/>
            <w:vMerge w:val="restart"/>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项目支出</w:t>
            </w:r>
          </w:p>
        </w:tc>
      </w:tr>
      <w:tr w:rsidR="006B35AF">
        <w:trPr>
          <w:trHeight w:val="567"/>
          <w:jc w:val="center"/>
        </w:trPr>
        <w:tc>
          <w:tcPr>
            <w:tcW w:w="1426" w:type="dxa"/>
            <w:vMerge/>
            <w:tcBorders>
              <w:top w:val="single" w:sz="4" w:space="0" w:color="auto"/>
              <w:left w:val="single" w:sz="4" w:space="0" w:color="auto"/>
              <w:bottom w:val="nil"/>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0"/>
                <w:szCs w:val="20"/>
              </w:rPr>
            </w:pPr>
          </w:p>
        </w:tc>
        <w:tc>
          <w:tcPr>
            <w:tcW w:w="2030" w:type="dxa"/>
            <w:vMerge/>
            <w:tcBorders>
              <w:top w:val="single" w:sz="4" w:space="0" w:color="auto"/>
              <w:left w:val="single" w:sz="4" w:space="0" w:color="auto"/>
              <w:bottom w:val="nil"/>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0"/>
                <w:szCs w:val="20"/>
              </w:rPr>
            </w:pPr>
          </w:p>
        </w:tc>
        <w:tc>
          <w:tcPr>
            <w:tcW w:w="1124" w:type="dxa"/>
            <w:vMerge/>
            <w:tcBorders>
              <w:top w:val="single" w:sz="4" w:space="0" w:color="auto"/>
              <w:left w:val="single" w:sz="4" w:space="0" w:color="auto"/>
              <w:bottom w:val="single" w:sz="4" w:space="0" w:color="000000"/>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0"/>
                <w:szCs w:val="20"/>
              </w:rPr>
            </w:pP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小计</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人员经费</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公用经费</w:t>
            </w:r>
          </w:p>
        </w:tc>
        <w:tc>
          <w:tcPr>
            <w:tcW w:w="1125" w:type="dxa"/>
            <w:vMerge/>
            <w:tcBorders>
              <w:top w:val="single" w:sz="4" w:space="0" w:color="auto"/>
              <w:left w:val="single" w:sz="4" w:space="0" w:color="auto"/>
              <w:bottom w:val="nil"/>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0"/>
                <w:szCs w:val="20"/>
              </w:rPr>
            </w:pPr>
          </w:p>
        </w:tc>
      </w:tr>
      <w:tr w:rsidR="006B35AF">
        <w:trPr>
          <w:trHeight w:val="567"/>
          <w:jc w:val="center"/>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w:t>
            </w:r>
          </w:p>
        </w:tc>
        <w:tc>
          <w:tcPr>
            <w:tcW w:w="2030"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教育支出</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757.1</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614.4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578.0</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36.4</w:t>
            </w:r>
            <w:r>
              <w:rPr>
                <w:rFonts w:ascii="Times New Roman" w:eastAsia="宋体" w:hAnsi="Times New Roman" w:cs="Times New Roman"/>
                <w:color w:val="000000"/>
                <w:kern w:val="0"/>
                <w:sz w:val="20"/>
                <w:szCs w:val="20"/>
              </w:rPr>
              <w:t xml:space="preserve">　</w:t>
            </w:r>
          </w:p>
        </w:tc>
        <w:tc>
          <w:tcPr>
            <w:tcW w:w="1125"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20503</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职业教育</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757.1</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614.4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578.0</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36.4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2050302</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中等职业教育</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757.1</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614.4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578.0</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36.4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142.7</w:t>
            </w: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社会保障和就业支出</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21.4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5.2</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20805</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行政事业单位养老</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21.4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5.2</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2080502</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事业单位离退休</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126.6</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r>
              <w:rPr>
                <w:rFonts w:ascii="Times New Roman" w:eastAsia="宋体" w:hAnsi="Times New Roman" w:cs="Times New Roman"/>
                <w:color w:val="000000"/>
                <w:kern w:val="0"/>
                <w:sz w:val="20"/>
                <w:szCs w:val="20"/>
              </w:rPr>
              <w:t>21.4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5.2</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卫生健康支出</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21011</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行政事业单位医疗</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2101102</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事业单位医疗</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住房保障支出</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22102</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住房改革支出</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2210202</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200" w:firstLine="4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提租补贴</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6.5</w:t>
            </w: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42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b/>
                <w:bCs/>
                <w:color w:val="000000"/>
                <w:kern w:val="0"/>
                <w:sz w:val="20"/>
                <w:szCs w:val="20"/>
              </w:rPr>
            </w:pPr>
            <w:r>
              <w:rPr>
                <w:rFonts w:ascii="Times New Roman" w:eastAsia="宋体" w:hAnsi="Times New Roman" w:cs="Times New Roman"/>
                <w:b/>
                <w:bCs/>
                <w:color w:val="000000"/>
                <w:kern w:val="0"/>
                <w:sz w:val="20"/>
                <w:szCs w:val="20"/>
              </w:rPr>
              <w:t xml:space="preserve">　</w:t>
            </w:r>
          </w:p>
        </w:tc>
        <w:tc>
          <w:tcPr>
            <w:tcW w:w="2030"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合计</w:t>
            </w:r>
          </w:p>
        </w:tc>
        <w:tc>
          <w:tcPr>
            <w:tcW w:w="1124"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892.6</w:t>
            </w:r>
            <w:r>
              <w:rPr>
                <w:rFonts w:ascii="Times New Roman" w:eastAsia="宋体" w:hAnsi="Times New Roman" w:cs="Times New Roman"/>
                <w:bCs/>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749.9</w:t>
            </w:r>
            <w:r>
              <w:rPr>
                <w:rFonts w:ascii="Times New Roman" w:eastAsia="宋体" w:hAnsi="Times New Roman" w:cs="Times New Roman"/>
                <w:bCs/>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708.3</w:t>
            </w:r>
            <w:r>
              <w:rPr>
                <w:rFonts w:ascii="Times New Roman" w:eastAsia="宋体" w:hAnsi="Times New Roman" w:cs="Times New Roman"/>
                <w:bCs/>
                <w:color w:val="000000"/>
                <w:kern w:val="0"/>
                <w:sz w:val="20"/>
                <w:szCs w:val="20"/>
              </w:rPr>
              <w:t xml:space="preserve">　</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41.6</w:t>
            </w:r>
          </w:p>
        </w:tc>
        <w:tc>
          <w:tcPr>
            <w:tcW w:w="1125"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bCs/>
                <w:color w:val="000000"/>
                <w:kern w:val="0"/>
                <w:sz w:val="20"/>
                <w:szCs w:val="20"/>
              </w:rPr>
            </w:pPr>
            <w:r>
              <w:rPr>
                <w:rFonts w:ascii="Times New Roman" w:eastAsia="宋体" w:hAnsi="Times New Roman" w:cs="Times New Roman"/>
                <w:bCs/>
                <w:color w:val="000000"/>
                <w:kern w:val="0"/>
                <w:sz w:val="20"/>
                <w:szCs w:val="20"/>
              </w:rPr>
              <w:t>142.7</w:t>
            </w:r>
            <w:r>
              <w:rPr>
                <w:rFonts w:ascii="Times New Roman" w:eastAsia="宋体" w:hAnsi="Times New Roman" w:cs="Times New Roman"/>
                <w:bCs/>
                <w:color w:val="000000"/>
                <w:kern w:val="0"/>
                <w:sz w:val="20"/>
                <w:szCs w:val="20"/>
              </w:rPr>
              <w:t xml:space="preserve">　</w:t>
            </w:r>
          </w:p>
        </w:tc>
      </w:tr>
    </w:tbl>
    <w:p w:rsidR="006B35AF" w:rsidRDefault="006B35AF">
      <w:pPr>
        <w:ind w:left="7400" w:hangingChars="3700" w:hanging="7400"/>
        <w:rPr>
          <w:rFonts w:ascii="Times New Roman" w:hAnsi="Times New Roman" w:cs="Times New Roman"/>
          <w:kern w:val="0"/>
          <w:sz w:val="20"/>
          <w:szCs w:val="20"/>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570D47">
      <w:pPr>
        <w:spacing w:line="600" w:lineRule="exact"/>
        <w:ind w:firstLineChars="3800" w:firstLine="7600"/>
        <w:jc w:val="left"/>
        <w:rPr>
          <w:rFonts w:ascii="Times New Roman" w:hAnsi="Times New Roman" w:cs="Times New Roman"/>
          <w:kern w:val="0"/>
          <w:sz w:val="20"/>
          <w:szCs w:val="20"/>
        </w:rPr>
      </w:pPr>
      <w:r>
        <w:rPr>
          <w:rFonts w:ascii="Times New Roman" w:hAnsi="宋体" w:cs="Times New Roman"/>
          <w:kern w:val="0"/>
          <w:sz w:val="20"/>
          <w:szCs w:val="20"/>
        </w:rPr>
        <w:lastRenderedPageBreak/>
        <w:t>单位公开表</w:t>
      </w:r>
      <w:r>
        <w:rPr>
          <w:rFonts w:ascii="Times New Roman" w:hAnsi="Times New Roman" w:cs="Times New Roman"/>
          <w:kern w:val="0"/>
          <w:sz w:val="20"/>
          <w:szCs w:val="20"/>
        </w:rPr>
        <w:t xml:space="preserve">6 </w:t>
      </w:r>
    </w:p>
    <w:p w:rsidR="006B35AF" w:rsidRDefault="00570D47">
      <w:pPr>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一般公共预算基本支出表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宋体" w:cs="Times New Roman"/>
          <w:kern w:val="0"/>
          <w:sz w:val="20"/>
          <w:szCs w:val="20"/>
        </w:rPr>
        <w:t>单位：万元</w:t>
      </w:r>
    </w:p>
    <w:tbl>
      <w:tblPr>
        <w:tblW w:w="9072" w:type="dxa"/>
        <w:jc w:val="center"/>
        <w:tblLayout w:type="fixed"/>
        <w:tblLook w:val="04A0"/>
      </w:tblPr>
      <w:tblGrid>
        <w:gridCol w:w="1156"/>
        <w:gridCol w:w="3298"/>
        <w:gridCol w:w="936"/>
        <w:gridCol w:w="1841"/>
        <w:gridCol w:w="1841"/>
      </w:tblGrid>
      <w:tr w:rsidR="006B35AF">
        <w:trPr>
          <w:trHeight w:val="567"/>
          <w:tblHeader/>
          <w:jc w:val="center"/>
        </w:trPr>
        <w:tc>
          <w:tcPr>
            <w:tcW w:w="4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部门预算支出经济分类科目</w:t>
            </w:r>
          </w:p>
        </w:tc>
        <w:tc>
          <w:tcPr>
            <w:tcW w:w="4618" w:type="dxa"/>
            <w:gridSpan w:val="3"/>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本年一般公共预算基本支出</w:t>
            </w:r>
          </w:p>
        </w:tc>
      </w:tr>
      <w:tr w:rsidR="006B35AF">
        <w:trPr>
          <w:trHeight w:val="567"/>
          <w:tblHeader/>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科目编码</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科目名称</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合计</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人员经费</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2"/>
              </w:rPr>
            </w:pPr>
            <w:r>
              <w:rPr>
                <w:rFonts w:ascii="Times New Roman" w:eastAsia="宋体" w:hAnsi="宋体" w:cs="Times New Roman"/>
                <w:b/>
                <w:bCs/>
                <w:kern w:val="0"/>
                <w:sz w:val="22"/>
              </w:rPr>
              <w:t>公用经费</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工资福利支出</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578.2</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578.2</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30101</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基本工资</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101.7</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101.7</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30102</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津贴补贴</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25.4</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25.4</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30107</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绩效工资</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143.1</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143.1</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30108</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机关事业单位基本养老保险缴费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135.2</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135.2</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30110</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职工基本医疗保险缴费　</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53.2</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53.2</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30112</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其他社会保障缴费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15.8</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15.8</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30113</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住房公积金</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101.4</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101.4</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30114</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医疗费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2.4</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2.4</w:t>
            </w: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302</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商品和服务支出</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41.6</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41.6</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30216</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培训费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9.5</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9.5</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30228</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工会经费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17.4</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17.4</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30229</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福利费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12.7</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12.8</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30299</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其他商品和服务支出</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1.9</w:t>
            </w: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303</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对个人和家庭的补助</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130.1</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130.1</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30302</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退休费</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126.4</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126.4</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30305</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生活补助</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2.1</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lastRenderedPageBreak/>
              <w:t>30307</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医疗费补助</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1.6</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30399</w:t>
            </w: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其他对个人和家庭的补助支出</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0.1</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0.1</w:t>
            </w:r>
          </w:p>
        </w:tc>
        <w:tc>
          <w:tcPr>
            <w:tcW w:w="1841" w:type="dxa"/>
            <w:tcBorders>
              <w:top w:val="nil"/>
              <w:left w:val="nil"/>
              <w:bottom w:val="single" w:sz="4" w:space="0" w:color="auto"/>
              <w:right w:val="single" w:sz="4" w:space="0" w:color="auto"/>
            </w:tcBorders>
            <w:shd w:val="clear" w:color="auto" w:fill="auto"/>
            <w:vAlign w:val="center"/>
          </w:tcPr>
          <w:p w:rsidR="006B35AF" w:rsidRDefault="006B35AF">
            <w:pPr>
              <w:widowControl/>
              <w:ind w:firstLineChars="100" w:firstLine="200"/>
              <w:jc w:val="right"/>
              <w:rPr>
                <w:rFonts w:ascii="Times New Roman" w:eastAsia="宋体" w:hAnsi="Times New Roman" w:cs="Times New Roman"/>
                <w:color w:val="000000"/>
                <w:kern w:val="0"/>
                <w:sz w:val="20"/>
                <w:szCs w:val="20"/>
              </w:rPr>
            </w:pPr>
          </w:p>
        </w:tc>
      </w:tr>
      <w:tr w:rsidR="006B35AF">
        <w:trPr>
          <w:trHeight w:val="567"/>
          <w:jc w:val="center"/>
        </w:trPr>
        <w:tc>
          <w:tcPr>
            <w:tcW w:w="1156" w:type="dxa"/>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ind w:firstLineChars="100" w:firstLine="200"/>
              <w:jc w:val="left"/>
              <w:rPr>
                <w:rFonts w:ascii="Times New Roman" w:eastAsia="宋体" w:hAnsi="Times New Roman" w:cs="Times New Roman"/>
                <w:color w:val="000000"/>
                <w:kern w:val="0"/>
                <w:sz w:val="20"/>
                <w:szCs w:val="20"/>
              </w:rPr>
            </w:pPr>
          </w:p>
        </w:tc>
        <w:tc>
          <w:tcPr>
            <w:tcW w:w="329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合计</w:t>
            </w:r>
          </w:p>
        </w:tc>
        <w:tc>
          <w:tcPr>
            <w:tcW w:w="936"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749.9</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708.3</w:t>
            </w:r>
          </w:p>
        </w:tc>
        <w:tc>
          <w:tcPr>
            <w:tcW w:w="1841" w:type="dxa"/>
            <w:tcBorders>
              <w:top w:val="nil"/>
              <w:left w:val="nil"/>
              <w:bottom w:val="single" w:sz="4" w:space="0" w:color="auto"/>
              <w:right w:val="single" w:sz="4" w:space="0" w:color="auto"/>
            </w:tcBorders>
            <w:shd w:val="clear" w:color="auto" w:fill="auto"/>
            <w:vAlign w:val="center"/>
          </w:tcPr>
          <w:p w:rsidR="006B35AF" w:rsidRDefault="00570D47">
            <w:pPr>
              <w:widowControl/>
              <w:ind w:firstLineChars="100" w:firstLine="200"/>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41.6</w:t>
            </w:r>
          </w:p>
        </w:tc>
      </w:tr>
    </w:tbl>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570D47">
      <w:pPr>
        <w:spacing w:line="600" w:lineRule="exac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宋体" w:cs="Times New Roman"/>
          <w:kern w:val="0"/>
          <w:sz w:val="20"/>
          <w:szCs w:val="20"/>
        </w:rPr>
        <w:t>单位公开表</w:t>
      </w:r>
      <w:r>
        <w:rPr>
          <w:rFonts w:ascii="Times New Roman" w:hAnsi="Times New Roman" w:cs="Times New Roman"/>
          <w:kern w:val="0"/>
          <w:sz w:val="20"/>
          <w:szCs w:val="20"/>
        </w:rPr>
        <w:t>7</w:t>
      </w:r>
    </w:p>
    <w:p w:rsidR="006B35AF" w:rsidRDefault="00570D47">
      <w:pPr>
        <w:widowControl/>
        <w:spacing w:line="600" w:lineRule="exact"/>
        <w:ind w:firstLineChars="50" w:firstLine="160"/>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政府性基金预算支出表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宋体" w:cs="Times New Roman"/>
          <w:kern w:val="0"/>
          <w:sz w:val="20"/>
          <w:szCs w:val="20"/>
        </w:rPr>
        <w:t>单位：万元</w:t>
      </w:r>
    </w:p>
    <w:tbl>
      <w:tblPr>
        <w:tblW w:w="9072" w:type="dxa"/>
        <w:jc w:val="center"/>
        <w:tblLayout w:type="fixed"/>
        <w:tblLook w:val="04A0"/>
      </w:tblPr>
      <w:tblGrid>
        <w:gridCol w:w="1440"/>
        <w:gridCol w:w="3435"/>
        <w:gridCol w:w="1399"/>
        <w:gridCol w:w="1399"/>
        <w:gridCol w:w="1399"/>
      </w:tblGrid>
      <w:tr w:rsidR="006B35AF">
        <w:trPr>
          <w:trHeight w:val="567"/>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科目编码</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科目名称</w:t>
            </w:r>
          </w:p>
        </w:tc>
        <w:tc>
          <w:tcPr>
            <w:tcW w:w="4080" w:type="dxa"/>
            <w:gridSpan w:val="3"/>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本年政府性基金预算支出</w:t>
            </w:r>
          </w:p>
        </w:tc>
      </w:tr>
      <w:tr w:rsidR="006B35AF">
        <w:trPr>
          <w:trHeight w:val="567"/>
          <w:jc w:val="center"/>
        </w:trPr>
        <w:tc>
          <w:tcPr>
            <w:tcW w:w="1400" w:type="dxa"/>
            <w:vMerge/>
            <w:tcBorders>
              <w:top w:val="single" w:sz="4" w:space="0" w:color="auto"/>
              <w:left w:val="single" w:sz="4" w:space="0" w:color="auto"/>
              <w:bottom w:val="single" w:sz="4" w:space="0" w:color="auto"/>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2"/>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6B35AF" w:rsidRDefault="006B35AF">
            <w:pPr>
              <w:widowControl/>
              <w:jc w:val="left"/>
              <w:rPr>
                <w:rFonts w:ascii="Times New Roman" w:eastAsia="宋体" w:hAnsi="Times New Roman" w:cs="Times New Roman"/>
                <w:b/>
                <w:bCs/>
                <w:color w:val="000000"/>
                <w:kern w:val="0"/>
                <w:sz w:val="22"/>
              </w:rPr>
            </w:pP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合计</w:t>
            </w: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基本支出</w:t>
            </w: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宋体" w:cs="Times New Roman"/>
                <w:b/>
                <w:bCs/>
                <w:color w:val="000000"/>
                <w:kern w:val="0"/>
                <w:sz w:val="22"/>
              </w:rPr>
              <w:t>项目支出</w:t>
            </w:r>
          </w:p>
        </w:tc>
      </w:tr>
      <w:tr w:rsidR="006B35AF">
        <w:trPr>
          <w:trHeight w:val="567"/>
          <w:jc w:val="center"/>
        </w:trPr>
        <w:tc>
          <w:tcPr>
            <w:tcW w:w="1400" w:type="dxa"/>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jc w:val="left"/>
              <w:rPr>
                <w:rFonts w:ascii="Times New Roman" w:hAnsi="Times New Roman" w:cs="Times New Roman"/>
                <w:kern w:val="0"/>
                <w:sz w:val="20"/>
                <w:szCs w:val="20"/>
              </w:rPr>
            </w:pPr>
          </w:p>
        </w:tc>
        <w:tc>
          <w:tcPr>
            <w:tcW w:w="3340" w:type="dxa"/>
            <w:tcBorders>
              <w:top w:val="nil"/>
              <w:left w:val="nil"/>
              <w:bottom w:val="single" w:sz="4" w:space="0" w:color="auto"/>
              <w:right w:val="single" w:sz="4" w:space="0" w:color="auto"/>
            </w:tcBorders>
            <w:shd w:val="clear" w:color="auto" w:fill="auto"/>
            <w:vAlign w:val="center"/>
          </w:tcPr>
          <w:p w:rsidR="006B35AF" w:rsidRDefault="006B35AF">
            <w:pPr>
              <w:widowControl/>
              <w:jc w:val="left"/>
              <w:rPr>
                <w:rFonts w:ascii="Times New Roman" w:hAnsi="Times New Roman" w:cs="Times New Roman"/>
                <w:kern w:val="0"/>
                <w:sz w:val="20"/>
                <w:szCs w:val="20"/>
              </w:rPr>
            </w:pP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2"/>
              </w:rPr>
            </w:pPr>
            <w:r>
              <w:rPr>
                <w:rFonts w:ascii="Times New Roman" w:eastAsia="宋体" w:hAnsi="宋体" w:cs="Times New Roman"/>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2"/>
              </w:rPr>
            </w:pPr>
            <w:r>
              <w:rPr>
                <w:rFonts w:ascii="Times New Roman" w:eastAsia="宋体" w:hAnsi="宋体" w:cs="Times New Roman"/>
                <w:color w:val="000000"/>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color w:val="000000"/>
                <w:kern w:val="0"/>
                <w:sz w:val="22"/>
              </w:rPr>
            </w:pPr>
            <w:r>
              <w:rPr>
                <w:rFonts w:ascii="Times New Roman" w:eastAsia="宋体" w:hAnsi="宋体" w:cs="Times New Roman"/>
                <w:color w:val="000000"/>
                <w:kern w:val="0"/>
                <w:sz w:val="22"/>
              </w:rPr>
              <w:t xml:space="preserve">　</w:t>
            </w:r>
          </w:p>
        </w:tc>
      </w:tr>
    </w:tbl>
    <w:p w:rsidR="006B35AF" w:rsidRDefault="00570D47">
      <w:pPr>
        <w:widowControl/>
        <w:jc w:val="left"/>
        <w:rPr>
          <w:rFonts w:ascii="Times New Roman" w:eastAsia="宋体" w:hAnsi="Times New Roman" w:cs="Times New Roman"/>
          <w:kern w:val="0"/>
          <w:sz w:val="22"/>
        </w:rPr>
      </w:pPr>
      <w:r>
        <w:rPr>
          <w:rFonts w:ascii="Times New Roman" w:eastAsia="宋体" w:hAnsi="宋体" w:cs="Times New Roman"/>
          <w:kern w:val="0"/>
          <w:sz w:val="22"/>
        </w:rPr>
        <w:t>注：安徽生物工程学校没有政府性基金预算拨款收入，也没有政府性基金预算拨款安排的支出，故本表无数据。</w:t>
      </w: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570D47">
      <w:pPr>
        <w:pStyle w:val="a6"/>
        <w:adjustRightInd w:val="0"/>
        <w:snapToGrid w:val="0"/>
        <w:spacing w:before="0" w:beforeAutospacing="0" w:after="0" w:afterAutospacing="0" w:line="600" w:lineRule="exact"/>
        <w:ind w:right="100"/>
        <w:jc w:val="right"/>
        <w:rPr>
          <w:rFonts w:ascii="Times New Roman" w:eastAsia="黑体" w:hAnsi="Times New Roman" w:cs="Times New Roman"/>
          <w:bCs/>
          <w:sz w:val="36"/>
          <w:szCs w:val="36"/>
        </w:rPr>
      </w:pPr>
      <w:r>
        <w:rPr>
          <w:rFonts w:ascii="Times New Roman" w:hAnsi="Times New Roman" w:cs="Times New Roman"/>
          <w:sz w:val="20"/>
          <w:szCs w:val="20"/>
        </w:rPr>
        <w:lastRenderedPageBreak/>
        <w:t xml:space="preserve">  </w:t>
      </w:r>
      <w:r>
        <w:rPr>
          <w:rFonts w:ascii="Times New Roman" w:hAnsi="Times New Roman" w:cs="Times New Roman" w:hint="eastAsia"/>
          <w:sz w:val="20"/>
          <w:szCs w:val="20"/>
        </w:rPr>
        <w:t>单位</w:t>
      </w:r>
      <w:r>
        <w:rPr>
          <w:rFonts w:ascii="Times New Roman" w:hAnsi="Times New Roman" w:cs="Times New Roman"/>
          <w:sz w:val="20"/>
          <w:szCs w:val="20"/>
        </w:rPr>
        <w:t>公开表</w:t>
      </w:r>
      <w:r>
        <w:rPr>
          <w:rFonts w:ascii="Times New Roman" w:hAnsi="Times New Roman" w:cs="Times New Roman"/>
          <w:sz w:val="20"/>
          <w:szCs w:val="20"/>
        </w:rPr>
        <w:t>8</w:t>
      </w:r>
    </w:p>
    <w:p w:rsidR="006B35AF" w:rsidRDefault="00570D47">
      <w:pPr>
        <w:pStyle w:val="a6"/>
        <w:adjustRightInd w:val="0"/>
        <w:snapToGrid w:val="0"/>
        <w:spacing w:before="0" w:beforeAutospacing="0" w:after="0" w:afterAutospacing="0" w:line="600" w:lineRule="exact"/>
        <w:jc w:val="center"/>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安徽生物工程学校</w:t>
      </w:r>
      <w:r>
        <w:rPr>
          <w:rFonts w:ascii="Times New Roman" w:eastAsia="黑体" w:hAnsi="Times New Roman" w:cs="Times New Roman"/>
          <w:bCs/>
          <w:color w:val="000000" w:themeColor="text1"/>
          <w:sz w:val="32"/>
          <w:szCs w:val="32"/>
        </w:rPr>
        <w:t>2023</w:t>
      </w:r>
      <w:r>
        <w:rPr>
          <w:rFonts w:ascii="Times New Roman" w:eastAsia="黑体" w:hAnsi="Times New Roman" w:cs="Times New Roman"/>
          <w:bCs/>
          <w:color w:val="000000" w:themeColor="text1"/>
          <w:sz w:val="32"/>
          <w:szCs w:val="32"/>
        </w:rPr>
        <w:t>年国有资本经营预算支出表</w:t>
      </w:r>
    </w:p>
    <w:p w:rsidR="006B35AF" w:rsidRDefault="00570D47">
      <w:pPr>
        <w:pStyle w:val="a6"/>
        <w:wordWrap w:val="0"/>
        <w:adjustRightInd w:val="0"/>
        <w:snapToGrid w:val="0"/>
        <w:spacing w:before="0" w:beforeAutospacing="0" w:after="0" w:afterAutospacing="0" w:line="600" w:lineRule="exact"/>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单位：万元</w:t>
      </w:r>
    </w:p>
    <w:tbl>
      <w:tblPr>
        <w:tblW w:w="9072" w:type="dxa"/>
        <w:jc w:val="center"/>
        <w:tblLook w:val="04A0"/>
      </w:tblPr>
      <w:tblGrid>
        <w:gridCol w:w="1815"/>
        <w:gridCol w:w="1815"/>
        <w:gridCol w:w="1814"/>
        <w:gridCol w:w="1814"/>
        <w:gridCol w:w="1814"/>
      </w:tblGrid>
      <w:tr w:rsidR="006B35AF">
        <w:trPr>
          <w:trHeight w:val="567"/>
          <w:jc w:val="center"/>
        </w:trPr>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功能科目分类</w:t>
            </w:r>
          </w:p>
        </w:tc>
        <w:tc>
          <w:tcPr>
            <w:tcW w:w="567" w:type="dxa"/>
            <w:gridSpan w:val="3"/>
            <w:tcBorders>
              <w:top w:val="single" w:sz="4" w:space="0" w:color="000000"/>
              <w:left w:val="nil"/>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国有资本经营预算拨款支出</w:t>
            </w:r>
          </w:p>
        </w:tc>
      </w:tr>
      <w:tr w:rsidR="006B35AF">
        <w:trPr>
          <w:trHeight w:val="567"/>
          <w:jc w:val="center"/>
        </w:trPr>
        <w:tc>
          <w:tcPr>
            <w:tcW w:w="567" w:type="dxa"/>
            <w:tcBorders>
              <w:top w:val="nil"/>
              <w:left w:val="single" w:sz="4" w:space="0" w:color="000000"/>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科目编码</w:t>
            </w:r>
          </w:p>
        </w:tc>
        <w:tc>
          <w:tcPr>
            <w:tcW w:w="567" w:type="dxa"/>
            <w:tcBorders>
              <w:top w:val="nil"/>
              <w:left w:val="nil"/>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科目名称</w:t>
            </w:r>
          </w:p>
        </w:tc>
        <w:tc>
          <w:tcPr>
            <w:tcW w:w="567" w:type="dxa"/>
            <w:tcBorders>
              <w:top w:val="nil"/>
              <w:left w:val="nil"/>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合计</w:t>
            </w:r>
          </w:p>
        </w:tc>
        <w:tc>
          <w:tcPr>
            <w:tcW w:w="567" w:type="dxa"/>
            <w:tcBorders>
              <w:top w:val="nil"/>
              <w:left w:val="nil"/>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基本支出</w:t>
            </w:r>
          </w:p>
        </w:tc>
        <w:tc>
          <w:tcPr>
            <w:tcW w:w="567" w:type="dxa"/>
            <w:tcBorders>
              <w:top w:val="nil"/>
              <w:left w:val="nil"/>
              <w:bottom w:val="single" w:sz="4" w:space="0" w:color="000000"/>
              <w:right w:val="single" w:sz="4" w:space="0" w:color="000000"/>
            </w:tcBorders>
            <w:shd w:val="clear" w:color="auto" w:fill="auto"/>
            <w:noWrap/>
            <w:vAlign w:val="center"/>
          </w:tcPr>
          <w:p w:rsidR="006B35AF" w:rsidRDefault="00570D47">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b/>
                <w:bCs/>
                <w:color w:val="000000"/>
                <w:kern w:val="0"/>
                <w:sz w:val="22"/>
              </w:rPr>
              <w:t>项目支出</w:t>
            </w:r>
          </w:p>
        </w:tc>
      </w:tr>
      <w:tr w:rsidR="006B35AF">
        <w:trPr>
          <w:trHeight w:val="567"/>
          <w:jc w:val="center"/>
        </w:trPr>
        <w:tc>
          <w:tcPr>
            <w:tcW w:w="567" w:type="dxa"/>
            <w:tcBorders>
              <w:top w:val="nil"/>
              <w:left w:val="single" w:sz="4" w:space="0" w:color="000000"/>
              <w:bottom w:val="single" w:sz="4" w:space="0" w:color="000000"/>
              <w:right w:val="single" w:sz="4" w:space="0" w:color="000000"/>
            </w:tcBorders>
            <w:shd w:val="clear" w:color="auto" w:fill="auto"/>
            <w:noWrap/>
            <w:vAlign w:val="bottom"/>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567" w:type="dxa"/>
            <w:tcBorders>
              <w:top w:val="nil"/>
              <w:left w:val="nil"/>
              <w:bottom w:val="single" w:sz="4" w:space="0" w:color="000000"/>
              <w:right w:val="single" w:sz="4" w:space="0" w:color="000000"/>
            </w:tcBorders>
            <w:shd w:val="clear" w:color="auto" w:fill="auto"/>
            <w:noWrap/>
            <w:vAlign w:val="bottom"/>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r w:rsidR="006B35AF">
        <w:trPr>
          <w:trHeight w:val="567"/>
          <w:jc w:val="center"/>
        </w:trPr>
        <w:tc>
          <w:tcPr>
            <w:tcW w:w="567" w:type="dxa"/>
            <w:gridSpan w:val="5"/>
            <w:tcBorders>
              <w:top w:val="single" w:sz="4" w:space="0" w:color="000000"/>
              <w:left w:val="nil"/>
              <w:bottom w:val="nil"/>
              <w:right w:val="nil"/>
            </w:tcBorders>
            <w:shd w:val="clear" w:color="auto" w:fill="auto"/>
            <w:vAlign w:val="center"/>
          </w:tcPr>
          <w:p w:rsidR="006B35AF" w:rsidRDefault="00570D47">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注：安徽生物工程学校没有国有资本经营预算拨款收入，也没有国有资本经营预算拨款安排的支出，故本表无数据。</w:t>
            </w:r>
          </w:p>
        </w:tc>
      </w:tr>
    </w:tbl>
    <w:p w:rsidR="006B35AF" w:rsidRDefault="006B35AF">
      <w:pPr>
        <w:rPr>
          <w:rFonts w:ascii="Times New Roman" w:hAnsi="Times New Roman" w:cs="Times New Roman"/>
        </w:rPr>
        <w:sectPr w:rsidR="006B35AF">
          <w:pgSz w:w="11906" w:h="16838"/>
          <w:pgMar w:top="1928" w:right="1531" w:bottom="1814" w:left="1531" w:header="851" w:footer="992" w:gutter="0"/>
          <w:cols w:space="425"/>
          <w:docGrid w:linePitch="312"/>
        </w:sectPr>
      </w:pPr>
    </w:p>
    <w:p w:rsidR="006B35AF" w:rsidRDefault="00570D47">
      <w:pPr>
        <w:spacing w:line="600" w:lineRule="exact"/>
        <w:ind w:firstLineChars="4750" w:firstLine="9500"/>
        <w:jc w:val="right"/>
        <w:rPr>
          <w:rFonts w:ascii="Times New Roman" w:hAnsi="Times New Roman" w:cs="Times New Roman"/>
          <w:kern w:val="0"/>
          <w:sz w:val="20"/>
          <w:szCs w:val="20"/>
        </w:rPr>
      </w:pPr>
      <w:r>
        <w:rPr>
          <w:rFonts w:ascii="Times New Roman" w:hAnsi="Times New Roman" w:cs="Times New Roman"/>
          <w:kern w:val="0"/>
          <w:sz w:val="20"/>
          <w:szCs w:val="20"/>
        </w:rPr>
        <w:lastRenderedPageBreak/>
        <w:t xml:space="preserve">                      </w:t>
      </w:r>
      <w:r>
        <w:rPr>
          <w:rFonts w:ascii="Times New Roman" w:hAnsi="Times New Roman" w:cs="Times New Roman" w:hint="eastAsia"/>
          <w:kern w:val="0"/>
          <w:sz w:val="20"/>
          <w:szCs w:val="20"/>
        </w:rPr>
        <w:t>单位</w:t>
      </w:r>
      <w:r>
        <w:rPr>
          <w:rFonts w:ascii="Times New Roman" w:hAnsi="Times New Roman" w:cs="Times New Roman"/>
          <w:kern w:val="0"/>
          <w:sz w:val="20"/>
          <w:szCs w:val="20"/>
        </w:rPr>
        <w:t>公开表</w:t>
      </w:r>
      <w:r>
        <w:rPr>
          <w:rFonts w:ascii="Times New Roman" w:hAnsi="Times New Roman" w:cs="Times New Roman"/>
          <w:kern w:val="0"/>
          <w:sz w:val="20"/>
          <w:szCs w:val="20"/>
        </w:rPr>
        <w:t>9</w:t>
      </w:r>
    </w:p>
    <w:p w:rsidR="006B35AF" w:rsidRDefault="00570D47">
      <w:pPr>
        <w:widowControl/>
        <w:spacing w:line="60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年项目支出表</w:t>
      </w:r>
    </w:p>
    <w:p w:rsidR="006B35AF" w:rsidRDefault="00570D47">
      <w:pPr>
        <w:spacing w:line="600" w:lineRule="exact"/>
        <w:ind w:left="7400" w:hangingChars="3700" w:hanging="7400"/>
        <w:rPr>
          <w:rFonts w:ascii="Times New Roman" w:hAnsi="Times New Roman" w:cs="Times New Roman"/>
          <w:kern w:val="0"/>
          <w:sz w:val="20"/>
          <w:szCs w:val="20"/>
        </w:rPr>
      </w:pPr>
      <w:r>
        <w:rPr>
          <w:rFonts w:ascii="Times New Roman" w:hAnsi="Times New Roman" w:cs="Times New Roman"/>
          <w:kern w:val="0"/>
          <w:sz w:val="20"/>
          <w:szCs w:val="20"/>
        </w:rPr>
        <w:t xml:space="preserve">                                                                                                                           </w:t>
      </w:r>
      <w:r>
        <w:rPr>
          <w:rFonts w:ascii="Times New Roman" w:hAnsi="Times New Roman" w:cs="Times New Roman"/>
          <w:kern w:val="0"/>
          <w:sz w:val="20"/>
          <w:szCs w:val="20"/>
        </w:rPr>
        <w:t>单位：万元</w:t>
      </w: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2654"/>
        <w:gridCol w:w="2372"/>
        <w:gridCol w:w="1060"/>
        <w:gridCol w:w="1060"/>
        <w:gridCol w:w="900"/>
        <w:gridCol w:w="900"/>
        <w:gridCol w:w="916"/>
        <w:gridCol w:w="900"/>
        <w:gridCol w:w="900"/>
        <w:gridCol w:w="900"/>
        <w:gridCol w:w="900"/>
      </w:tblGrid>
      <w:tr w:rsidR="006B35AF">
        <w:trPr>
          <w:trHeight w:val="567"/>
          <w:tblHeader/>
          <w:jc w:val="center"/>
        </w:trPr>
        <w:tc>
          <w:tcPr>
            <w:tcW w:w="128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类型</w:t>
            </w:r>
          </w:p>
        </w:tc>
        <w:tc>
          <w:tcPr>
            <w:tcW w:w="2984"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项目名称</w:t>
            </w:r>
          </w:p>
        </w:tc>
        <w:tc>
          <w:tcPr>
            <w:tcW w:w="266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项目单位</w:t>
            </w:r>
          </w:p>
        </w:tc>
        <w:tc>
          <w:tcPr>
            <w:tcW w:w="106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合计</w:t>
            </w:r>
          </w:p>
        </w:tc>
        <w:tc>
          <w:tcPr>
            <w:tcW w:w="2860" w:type="dxa"/>
            <w:gridSpan w:val="3"/>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本年财政拨款</w:t>
            </w:r>
          </w:p>
        </w:tc>
        <w:tc>
          <w:tcPr>
            <w:tcW w:w="2716" w:type="dxa"/>
            <w:gridSpan w:val="3"/>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财政拨款结转结余</w:t>
            </w:r>
          </w:p>
        </w:tc>
        <w:tc>
          <w:tcPr>
            <w:tcW w:w="90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财政专户管理资金</w:t>
            </w:r>
          </w:p>
        </w:tc>
        <w:tc>
          <w:tcPr>
            <w:tcW w:w="900" w:type="dxa"/>
            <w:vMerge w:val="restart"/>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单位资金</w:t>
            </w:r>
          </w:p>
        </w:tc>
      </w:tr>
      <w:tr w:rsidR="006B35AF">
        <w:trPr>
          <w:trHeight w:val="567"/>
          <w:tblHeader/>
          <w:jc w:val="center"/>
        </w:trPr>
        <w:tc>
          <w:tcPr>
            <w:tcW w:w="128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2984"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266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106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1060"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一般公共预算</w:t>
            </w:r>
          </w:p>
        </w:tc>
        <w:tc>
          <w:tcPr>
            <w:tcW w:w="900"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政府性基金预算</w:t>
            </w:r>
          </w:p>
        </w:tc>
        <w:tc>
          <w:tcPr>
            <w:tcW w:w="900"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国有资本经营预算</w:t>
            </w:r>
          </w:p>
        </w:tc>
        <w:tc>
          <w:tcPr>
            <w:tcW w:w="916"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一般公共预算</w:t>
            </w:r>
          </w:p>
        </w:tc>
        <w:tc>
          <w:tcPr>
            <w:tcW w:w="900"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政府性基金预算</w:t>
            </w:r>
          </w:p>
        </w:tc>
        <w:tc>
          <w:tcPr>
            <w:tcW w:w="900" w:type="dxa"/>
            <w:shd w:val="clear" w:color="auto" w:fill="auto"/>
            <w:vAlign w:val="center"/>
          </w:tcPr>
          <w:p w:rsidR="006B35AF" w:rsidRDefault="00570D47">
            <w:pPr>
              <w:widowControl/>
              <w:jc w:val="center"/>
              <w:rPr>
                <w:rFonts w:ascii="Times New Roman" w:hAnsi="Times New Roman" w:cs="Times New Roman"/>
                <w:b/>
                <w:bCs/>
                <w:color w:val="000000"/>
                <w:kern w:val="0"/>
                <w:sz w:val="20"/>
                <w:szCs w:val="20"/>
              </w:rPr>
            </w:pPr>
            <w:r>
              <w:rPr>
                <w:rFonts w:ascii="Times New Roman" w:hAnsiTheme="minorEastAsia" w:cs="Times New Roman"/>
                <w:b/>
                <w:bCs/>
                <w:color w:val="000000"/>
                <w:kern w:val="0"/>
                <w:sz w:val="20"/>
                <w:szCs w:val="20"/>
              </w:rPr>
              <w:t>国有资本经营预算</w:t>
            </w:r>
          </w:p>
        </w:tc>
        <w:tc>
          <w:tcPr>
            <w:tcW w:w="900" w:type="dxa"/>
            <w:vMerge/>
            <w:vAlign w:val="center"/>
          </w:tcPr>
          <w:p w:rsidR="006B35AF" w:rsidRDefault="006B35AF">
            <w:pPr>
              <w:widowControl/>
              <w:jc w:val="left"/>
              <w:rPr>
                <w:rFonts w:ascii="Times New Roman" w:hAnsi="Times New Roman" w:cs="Times New Roman"/>
                <w:b/>
                <w:bCs/>
                <w:color w:val="000000"/>
                <w:kern w:val="0"/>
                <w:sz w:val="20"/>
                <w:szCs w:val="20"/>
              </w:rPr>
            </w:pPr>
          </w:p>
        </w:tc>
        <w:tc>
          <w:tcPr>
            <w:tcW w:w="900" w:type="dxa"/>
            <w:vMerge/>
            <w:vAlign w:val="center"/>
          </w:tcPr>
          <w:p w:rsidR="006B35AF" w:rsidRDefault="006B35AF">
            <w:pPr>
              <w:widowControl/>
              <w:jc w:val="left"/>
              <w:rPr>
                <w:rFonts w:ascii="Times New Roman" w:hAnsi="Times New Roman" w:cs="Times New Roman"/>
                <w:b/>
                <w:bCs/>
                <w:color w:val="000000"/>
                <w:kern w:val="0"/>
                <w:sz w:val="20"/>
                <w:szCs w:val="20"/>
              </w:rPr>
            </w:pPr>
          </w:p>
        </w:tc>
      </w:tr>
      <w:tr w:rsidR="006B35AF">
        <w:trPr>
          <w:trHeight w:val="567"/>
          <w:jc w:val="center"/>
        </w:trPr>
        <w:tc>
          <w:tcPr>
            <w:tcW w:w="1280" w:type="dxa"/>
            <w:shd w:val="clear" w:color="auto" w:fill="auto"/>
            <w:noWrap/>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特定目标类</w:t>
            </w:r>
          </w:p>
        </w:tc>
        <w:tc>
          <w:tcPr>
            <w:tcW w:w="2984"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现代职业教育质量提升计划资金</w:t>
            </w:r>
          </w:p>
        </w:tc>
        <w:tc>
          <w:tcPr>
            <w:tcW w:w="2660"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安徽生物工程学校</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42.0</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42.0</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16"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r>
      <w:tr w:rsidR="006B35AF">
        <w:trPr>
          <w:trHeight w:val="567"/>
          <w:jc w:val="center"/>
        </w:trPr>
        <w:tc>
          <w:tcPr>
            <w:tcW w:w="1280" w:type="dxa"/>
            <w:shd w:val="clear" w:color="auto" w:fill="auto"/>
            <w:noWrap/>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特定目标类</w:t>
            </w:r>
          </w:p>
        </w:tc>
        <w:tc>
          <w:tcPr>
            <w:tcW w:w="2984"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学生资助补助经费</w:t>
            </w:r>
          </w:p>
        </w:tc>
        <w:tc>
          <w:tcPr>
            <w:tcW w:w="2660"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安徽生物工程学校</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39.1</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39.1</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16"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r>
      <w:tr w:rsidR="006B35AF">
        <w:trPr>
          <w:trHeight w:val="567"/>
          <w:jc w:val="center"/>
        </w:trPr>
        <w:tc>
          <w:tcPr>
            <w:tcW w:w="1280" w:type="dxa"/>
            <w:shd w:val="clear" w:color="auto" w:fill="auto"/>
            <w:noWrap/>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特定目标类</w:t>
            </w:r>
          </w:p>
        </w:tc>
        <w:tc>
          <w:tcPr>
            <w:tcW w:w="2984"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教学及实习实训专项经费</w:t>
            </w:r>
          </w:p>
        </w:tc>
        <w:tc>
          <w:tcPr>
            <w:tcW w:w="2660"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安徽生物工程学校</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46.9</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46.9</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16"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r>
      <w:tr w:rsidR="006B35AF">
        <w:trPr>
          <w:trHeight w:val="567"/>
          <w:jc w:val="center"/>
        </w:trPr>
        <w:tc>
          <w:tcPr>
            <w:tcW w:w="1280" w:type="dxa"/>
            <w:shd w:val="clear" w:color="auto" w:fill="auto"/>
            <w:noWrap/>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特定目标类</w:t>
            </w:r>
          </w:p>
        </w:tc>
        <w:tc>
          <w:tcPr>
            <w:tcW w:w="2984"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学生资助补助经费</w:t>
            </w:r>
          </w:p>
        </w:tc>
        <w:tc>
          <w:tcPr>
            <w:tcW w:w="2660" w:type="dxa"/>
            <w:shd w:val="clear" w:color="auto" w:fill="auto"/>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安徽生物工程学校</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14.7</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16"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14.7</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c>
          <w:tcPr>
            <w:tcW w:w="90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 xml:space="preserve">　</w:t>
            </w:r>
          </w:p>
        </w:tc>
      </w:tr>
      <w:tr w:rsidR="006B35AF">
        <w:trPr>
          <w:trHeight w:val="567"/>
          <w:jc w:val="center"/>
        </w:trPr>
        <w:tc>
          <w:tcPr>
            <w:tcW w:w="1280" w:type="dxa"/>
            <w:shd w:val="clear" w:color="auto" w:fill="auto"/>
            <w:noWrap/>
            <w:vAlign w:val="center"/>
          </w:tcPr>
          <w:p w:rsidR="006B35AF" w:rsidRDefault="00570D47">
            <w:pPr>
              <w:widowControl/>
              <w:jc w:val="left"/>
              <w:rPr>
                <w:rFonts w:ascii="Times New Roman" w:hAnsi="Times New Roman" w:cs="Times New Roman"/>
                <w:color w:val="000000"/>
                <w:kern w:val="0"/>
                <w:sz w:val="20"/>
                <w:szCs w:val="20"/>
              </w:rPr>
            </w:pPr>
            <w:r>
              <w:rPr>
                <w:rFonts w:ascii="Times New Roman" w:hAnsiTheme="minorEastAsia" w:cs="Times New Roman"/>
                <w:color w:val="000000"/>
                <w:kern w:val="0"/>
                <w:sz w:val="20"/>
                <w:szCs w:val="20"/>
              </w:rPr>
              <w:t>合计</w:t>
            </w:r>
          </w:p>
        </w:tc>
        <w:tc>
          <w:tcPr>
            <w:tcW w:w="2984" w:type="dxa"/>
            <w:shd w:val="clear" w:color="auto" w:fill="auto"/>
            <w:vAlign w:val="center"/>
          </w:tcPr>
          <w:p w:rsidR="006B35AF" w:rsidRDefault="006B35AF">
            <w:pPr>
              <w:widowControl/>
              <w:jc w:val="left"/>
              <w:rPr>
                <w:rFonts w:ascii="Times New Roman" w:hAnsi="Times New Roman" w:cs="Times New Roman"/>
                <w:color w:val="000000"/>
                <w:kern w:val="0"/>
                <w:sz w:val="20"/>
                <w:szCs w:val="20"/>
              </w:rPr>
            </w:pPr>
          </w:p>
        </w:tc>
        <w:tc>
          <w:tcPr>
            <w:tcW w:w="2660" w:type="dxa"/>
            <w:shd w:val="clear" w:color="auto" w:fill="auto"/>
            <w:vAlign w:val="center"/>
          </w:tcPr>
          <w:p w:rsidR="006B35AF" w:rsidRDefault="006B35AF">
            <w:pPr>
              <w:widowControl/>
              <w:jc w:val="left"/>
              <w:rPr>
                <w:rFonts w:ascii="Times New Roman" w:hAnsi="Times New Roman" w:cs="Times New Roman"/>
                <w:color w:val="000000"/>
                <w:kern w:val="0"/>
                <w:sz w:val="20"/>
                <w:szCs w:val="20"/>
              </w:rPr>
            </w:pP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142.7</w:t>
            </w:r>
          </w:p>
        </w:tc>
        <w:tc>
          <w:tcPr>
            <w:tcW w:w="1060"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128</w:t>
            </w:r>
            <w:r>
              <w:rPr>
                <w:rFonts w:ascii="Times New Roman" w:hAnsi="Times New Roman" w:cs="Times New Roman" w:hint="eastAsia"/>
                <w:color w:val="000000"/>
                <w:kern w:val="0"/>
                <w:sz w:val="20"/>
                <w:szCs w:val="20"/>
              </w:rPr>
              <w:t>.0</w:t>
            </w: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c>
          <w:tcPr>
            <w:tcW w:w="916" w:type="dxa"/>
            <w:shd w:val="clear" w:color="auto" w:fill="auto"/>
            <w:noWrap/>
            <w:vAlign w:val="center"/>
          </w:tcPr>
          <w:p w:rsidR="006B35AF" w:rsidRDefault="00570D47">
            <w:pPr>
              <w:widowControl/>
              <w:jc w:val="righ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14.7</w:t>
            </w: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c>
          <w:tcPr>
            <w:tcW w:w="900" w:type="dxa"/>
            <w:shd w:val="clear" w:color="auto" w:fill="auto"/>
            <w:noWrap/>
            <w:vAlign w:val="center"/>
          </w:tcPr>
          <w:p w:rsidR="006B35AF" w:rsidRDefault="006B35AF">
            <w:pPr>
              <w:widowControl/>
              <w:jc w:val="right"/>
              <w:rPr>
                <w:rFonts w:ascii="Times New Roman" w:hAnsi="Times New Roman" w:cs="Times New Roman"/>
                <w:color w:val="000000"/>
                <w:kern w:val="0"/>
                <w:sz w:val="20"/>
                <w:szCs w:val="20"/>
              </w:rPr>
            </w:pPr>
          </w:p>
        </w:tc>
      </w:tr>
    </w:tbl>
    <w:p w:rsidR="006B35AF" w:rsidRDefault="006B35AF">
      <w:pPr>
        <w:rPr>
          <w:rFonts w:ascii="Times New Roman" w:hAnsi="Times New Roman" w:cs="Times New Roman"/>
          <w:color w:val="000000"/>
          <w:kern w:val="0"/>
          <w:sz w:val="22"/>
        </w:rPr>
        <w:sectPr w:rsidR="006B35AF">
          <w:pgSz w:w="16838" w:h="11906" w:orient="landscape"/>
          <w:pgMar w:top="1440" w:right="1797" w:bottom="1440" w:left="1797" w:header="851" w:footer="992" w:gutter="0"/>
          <w:cols w:space="425"/>
          <w:docGrid w:linePitch="312"/>
        </w:sectPr>
      </w:pPr>
    </w:p>
    <w:p w:rsidR="006B35AF" w:rsidRDefault="00570D47">
      <w:pPr>
        <w:pStyle w:val="a6"/>
        <w:adjustRightInd w:val="0"/>
        <w:snapToGrid w:val="0"/>
        <w:spacing w:before="0" w:beforeAutospacing="0" w:after="0" w:afterAutospacing="0" w:line="600" w:lineRule="exact"/>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cs="Times New Roman"/>
          <w:sz w:val="20"/>
          <w:szCs w:val="20"/>
        </w:rPr>
        <w:t>单位公开表</w:t>
      </w:r>
      <w:r>
        <w:rPr>
          <w:rFonts w:ascii="Times New Roman" w:hAnsi="Times New Roman" w:cs="Times New Roman"/>
          <w:sz w:val="20"/>
          <w:szCs w:val="20"/>
        </w:rPr>
        <w:t>10</w:t>
      </w:r>
    </w:p>
    <w:p w:rsidR="006B35AF" w:rsidRDefault="00570D47">
      <w:pPr>
        <w:widowControl/>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政府采购支出表</w:t>
      </w:r>
    </w:p>
    <w:p w:rsidR="006B35AF" w:rsidRDefault="00570D47">
      <w:pPr>
        <w:pStyle w:val="a6"/>
        <w:adjustRightInd w:val="0"/>
        <w:snapToGrid w:val="0"/>
        <w:spacing w:before="0" w:beforeAutospacing="0" w:after="0" w:afterAutospacing="0" w:line="600" w:lineRule="exact"/>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cs="Times New Roman"/>
          <w:sz w:val="20"/>
          <w:szCs w:val="20"/>
        </w:rPr>
        <w:t>单位：万元</w:t>
      </w:r>
    </w:p>
    <w:tbl>
      <w:tblPr>
        <w:tblW w:w="9072" w:type="dxa"/>
        <w:jc w:val="center"/>
        <w:tblLayout w:type="fixed"/>
        <w:tblLook w:val="04A0"/>
      </w:tblPr>
      <w:tblGrid>
        <w:gridCol w:w="1227"/>
        <w:gridCol w:w="1175"/>
        <w:gridCol w:w="920"/>
        <w:gridCol w:w="1056"/>
        <w:gridCol w:w="1089"/>
        <w:gridCol w:w="1141"/>
        <w:gridCol w:w="1173"/>
        <w:gridCol w:w="1291"/>
      </w:tblGrid>
      <w:tr w:rsidR="006B35AF">
        <w:trPr>
          <w:trHeight w:val="567"/>
          <w:jc w:val="center"/>
        </w:trPr>
        <w:tc>
          <w:tcPr>
            <w:tcW w:w="1227" w:type="dxa"/>
            <w:tcBorders>
              <w:top w:val="single" w:sz="4" w:space="0" w:color="auto"/>
              <w:left w:val="single" w:sz="4" w:space="0" w:color="auto"/>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项目名称</w:t>
            </w:r>
          </w:p>
        </w:tc>
        <w:tc>
          <w:tcPr>
            <w:tcW w:w="1175"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政府采购品目</w:t>
            </w:r>
          </w:p>
        </w:tc>
        <w:tc>
          <w:tcPr>
            <w:tcW w:w="920"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合计</w:t>
            </w:r>
          </w:p>
        </w:tc>
        <w:tc>
          <w:tcPr>
            <w:tcW w:w="1056"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一般公共预算</w:t>
            </w:r>
          </w:p>
        </w:tc>
        <w:tc>
          <w:tcPr>
            <w:tcW w:w="1089"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政府性基金预算</w:t>
            </w:r>
          </w:p>
        </w:tc>
        <w:tc>
          <w:tcPr>
            <w:tcW w:w="1141"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国有资本经营预算</w:t>
            </w:r>
          </w:p>
        </w:tc>
        <w:tc>
          <w:tcPr>
            <w:tcW w:w="1173"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财政专户管理资金</w:t>
            </w:r>
          </w:p>
        </w:tc>
        <w:tc>
          <w:tcPr>
            <w:tcW w:w="1291" w:type="dxa"/>
            <w:tcBorders>
              <w:top w:val="single" w:sz="4" w:space="0" w:color="auto"/>
              <w:left w:val="nil"/>
              <w:bottom w:val="nil"/>
              <w:right w:val="single" w:sz="4" w:space="0" w:color="auto"/>
            </w:tcBorders>
            <w:shd w:val="clear" w:color="auto" w:fill="auto"/>
            <w:vAlign w:val="center"/>
          </w:tcPr>
          <w:p w:rsidR="006B35AF" w:rsidRDefault="00570D47">
            <w:pPr>
              <w:widowControl/>
              <w:jc w:val="center"/>
              <w:rPr>
                <w:rFonts w:ascii="Times New Roman" w:eastAsia="宋体" w:hAnsi="Times New Roman" w:cs="Times New Roman"/>
                <w:b/>
                <w:bCs/>
                <w:kern w:val="0"/>
                <w:sz w:val="20"/>
                <w:szCs w:val="20"/>
              </w:rPr>
            </w:pPr>
            <w:r>
              <w:rPr>
                <w:rFonts w:ascii="Times New Roman" w:eastAsia="宋体" w:hAnsi="宋体" w:cs="Times New Roman"/>
                <w:b/>
                <w:bCs/>
                <w:kern w:val="0"/>
                <w:sz w:val="20"/>
                <w:szCs w:val="20"/>
              </w:rPr>
              <w:t>单位资金</w:t>
            </w:r>
          </w:p>
        </w:tc>
      </w:tr>
      <w:tr w:rsidR="006B35AF">
        <w:trPr>
          <w:trHeight w:val="567"/>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056"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089"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173"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c>
          <w:tcPr>
            <w:tcW w:w="1291" w:type="dxa"/>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imes New Roman" w:eastAsia="宋体" w:hAnsi="Times New Roman" w:cs="Times New Roman"/>
                <w:kern w:val="0"/>
                <w:sz w:val="20"/>
                <w:szCs w:val="20"/>
              </w:rPr>
            </w:pPr>
            <w:r>
              <w:rPr>
                <w:rFonts w:ascii="Times New Roman" w:eastAsia="宋体" w:hAnsi="宋体" w:cs="Times New Roman"/>
                <w:kern w:val="0"/>
                <w:sz w:val="20"/>
                <w:szCs w:val="20"/>
              </w:rPr>
              <w:t xml:space="preserve">　</w:t>
            </w:r>
          </w:p>
        </w:tc>
      </w:tr>
    </w:tbl>
    <w:p w:rsidR="006B35AF" w:rsidRDefault="00570D47">
      <w:pPr>
        <w:widowControl/>
        <w:jc w:val="left"/>
        <w:rPr>
          <w:rFonts w:ascii="Times New Roman" w:eastAsia="宋体" w:hAnsi="Times New Roman" w:cs="Times New Roman"/>
          <w:kern w:val="0"/>
          <w:sz w:val="20"/>
          <w:szCs w:val="20"/>
        </w:rPr>
      </w:pPr>
      <w:r>
        <w:rPr>
          <w:rFonts w:ascii="Times New Roman" w:eastAsia="宋体" w:hAnsi="宋体" w:cs="Times New Roman"/>
          <w:kern w:val="0"/>
          <w:sz w:val="20"/>
          <w:szCs w:val="20"/>
        </w:rPr>
        <w:t>注：安徽生物工程学校没有使用一般公共预算拨款、政府性基金预算拨款、国有资本经营预算拨款、财政专户管理资金和单位资金安排的政府采购支出，故本表无数据。</w:t>
      </w: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pPr>
    </w:p>
    <w:p w:rsidR="006B35AF" w:rsidRDefault="006B35AF">
      <w:pPr>
        <w:rPr>
          <w:rFonts w:ascii="Times New Roman" w:hAnsi="Times New Roman" w:cs="Times New Roman"/>
        </w:rPr>
        <w:sectPr w:rsidR="006B35AF">
          <w:pgSz w:w="11906" w:h="16838"/>
          <w:pgMar w:top="1928" w:right="1531" w:bottom="1814" w:left="1531" w:header="851" w:footer="992" w:gutter="0"/>
          <w:cols w:space="425"/>
          <w:docGrid w:linePitch="312"/>
        </w:sectPr>
      </w:pPr>
    </w:p>
    <w:p w:rsidR="006B35AF" w:rsidRDefault="00570D47">
      <w:pPr>
        <w:pStyle w:val="a6"/>
        <w:adjustRightInd w:val="0"/>
        <w:snapToGrid w:val="0"/>
        <w:spacing w:before="0" w:beforeAutospacing="0" w:after="0" w:afterAutospacing="0" w:line="600" w:lineRule="exact"/>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cs="Times New Roman"/>
          <w:sz w:val="20"/>
          <w:szCs w:val="20"/>
        </w:rPr>
        <w:t>单位公开表</w:t>
      </w:r>
      <w:r>
        <w:rPr>
          <w:rFonts w:ascii="Times New Roman" w:hAnsi="Times New Roman" w:cs="Times New Roman"/>
          <w:sz w:val="20"/>
          <w:szCs w:val="20"/>
        </w:rPr>
        <w:t>11</w:t>
      </w:r>
    </w:p>
    <w:p w:rsidR="006B35AF" w:rsidRDefault="00570D47">
      <w:pPr>
        <w:widowControl/>
        <w:spacing w:line="600" w:lineRule="exact"/>
        <w:jc w:val="center"/>
        <w:rPr>
          <w:rFonts w:ascii="Times New Roman" w:eastAsia="黑体" w:hAnsi="Times New Roman" w:cs="Times New Roman"/>
          <w:bCs/>
          <w:kern w:val="0"/>
          <w:sz w:val="32"/>
          <w:szCs w:val="32"/>
        </w:rPr>
      </w:pPr>
      <w:r>
        <w:rPr>
          <w:rFonts w:ascii="Times New Roman" w:eastAsia="黑体" w:hAnsi="黑体" w:cs="Times New Roman"/>
          <w:bCs/>
          <w:kern w:val="0"/>
          <w:sz w:val="32"/>
          <w:szCs w:val="32"/>
        </w:rPr>
        <w:t>安徽生物工程学校</w:t>
      </w:r>
      <w:r>
        <w:rPr>
          <w:rFonts w:ascii="Times New Roman" w:eastAsia="黑体" w:hAnsi="Times New Roman" w:cs="Times New Roman"/>
          <w:bCs/>
          <w:kern w:val="0"/>
          <w:sz w:val="32"/>
          <w:szCs w:val="32"/>
        </w:rPr>
        <w:t>2023</w:t>
      </w:r>
      <w:r>
        <w:rPr>
          <w:rFonts w:ascii="Times New Roman" w:eastAsia="黑体" w:hAnsi="Times New Roman" w:cs="Times New Roman"/>
          <w:bCs/>
          <w:kern w:val="0"/>
          <w:sz w:val="32"/>
          <w:szCs w:val="32"/>
        </w:rPr>
        <w:t>年</w:t>
      </w:r>
      <w:r>
        <w:rPr>
          <w:rFonts w:ascii="Times New Roman" w:eastAsia="黑体" w:hAnsi="黑体" w:cs="Times New Roman"/>
          <w:bCs/>
          <w:kern w:val="0"/>
          <w:sz w:val="32"/>
          <w:szCs w:val="32"/>
        </w:rPr>
        <w:t>政府购买服务支出表</w:t>
      </w:r>
    </w:p>
    <w:p w:rsidR="006B35AF" w:rsidRDefault="00570D47">
      <w:pPr>
        <w:pStyle w:val="a6"/>
        <w:adjustRightInd w:val="0"/>
        <w:snapToGrid w:val="0"/>
        <w:spacing w:before="0" w:beforeAutospacing="0" w:after="0" w:afterAutospacing="0" w:line="600" w:lineRule="exact"/>
        <w:jc w:val="righ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cs="Times New Roman"/>
          <w:sz w:val="20"/>
          <w:szCs w:val="20"/>
        </w:rPr>
        <w:t>单位：万元</w:t>
      </w:r>
    </w:p>
    <w:tbl>
      <w:tblPr>
        <w:tblW w:w="14742" w:type="dxa"/>
        <w:jc w:val="center"/>
        <w:tblLayout w:type="fixed"/>
        <w:tblCellMar>
          <w:top w:w="15" w:type="dxa"/>
          <w:left w:w="15" w:type="dxa"/>
          <w:bottom w:w="15" w:type="dxa"/>
          <w:right w:w="15" w:type="dxa"/>
        </w:tblCellMar>
        <w:tblLook w:val="04A0"/>
      </w:tblPr>
      <w:tblGrid>
        <w:gridCol w:w="2224"/>
        <w:gridCol w:w="2095"/>
        <w:gridCol w:w="1914"/>
        <w:gridCol w:w="2074"/>
        <w:gridCol w:w="2663"/>
        <w:gridCol w:w="1806"/>
        <w:gridCol w:w="1966"/>
      </w:tblGrid>
      <w:tr w:rsidR="006B35AF">
        <w:trPr>
          <w:trHeight w:val="567"/>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项目名称</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一级目录名称</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二级目录名称</w:t>
            </w: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三级目录名称</w:t>
            </w: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政府购买服务内容</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购买数量</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570D47">
            <w:pPr>
              <w:widowControl/>
              <w:jc w:val="center"/>
              <w:textAlignment w:val="center"/>
              <w:rPr>
                <w:rFonts w:ascii="Times New Roman" w:eastAsia="宋体" w:hAnsi="Times New Roman" w:cs="Times New Roman"/>
                <w:b/>
                <w:color w:val="000000"/>
                <w:sz w:val="20"/>
                <w:szCs w:val="20"/>
              </w:rPr>
            </w:pPr>
            <w:r>
              <w:rPr>
                <w:rFonts w:ascii="Times New Roman" w:eastAsia="宋体" w:hAnsi="宋体" w:cs="Times New Roman"/>
                <w:b/>
                <w:color w:val="000000"/>
                <w:kern w:val="0"/>
                <w:sz w:val="20"/>
                <w:szCs w:val="20"/>
              </w:rPr>
              <w:t>购买金额</w:t>
            </w:r>
          </w:p>
        </w:tc>
      </w:tr>
      <w:tr w:rsidR="006B35AF">
        <w:trPr>
          <w:trHeight w:val="567"/>
          <w:jc w:val="center"/>
        </w:trPr>
        <w:tc>
          <w:tcPr>
            <w:tcW w:w="2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center"/>
              <w:rPr>
                <w:rFonts w:ascii="Times New Roman" w:eastAsia="宋体" w:hAnsi="Times New Roman" w:cs="Times New Roman"/>
                <w:b/>
                <w:color w:val="000000"/>
                <w:sz w:val="20"/>
                <w:szCs w:val="20"/>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left"/>
              <w:rPr>
                <w:rFonts w:ascii="Times New Roman" w:eastAsia="宋体" w:hAnsi="Times New Roman" w:cs="Times New Roman"/>
                <w:color w:val="000000"/>
                <w:sz w:val="20"/>
                <w:szCs w:val="20"/>
              </w:rPr>
            </w:pP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left"/>
              <w:rPr>
                <w:rFonts w:ascii="Times New Roman" w:eastAsia="宋体" w:hAnsi="Times New Roman" w:cs="Times New Roman"/>
                <w:color w:val="000000"/>
                <w:sz w:val="20"/>
                <w:szCs w:val="20"/>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left"/>
              <w:rPr>
                <w:rFonts w:ascii="Times New Roman" w:eastAsia="宋体" w:hAnsi="Times New Roman" w:cs="Times New Roman"/>
                <w:color w:val="000000"/>
                <w:sz w:val="20"/>
                <w:szCs w:val="20"/>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left"/>
              <w:rPr>
                <w:rFonts w:ascii="Times New Roman" w:eastAsia="宋体" w:hAnsi="Times New Roman" w:cs="Times New Roman"/>
                <w:color w:val="000000"/>
                <w:sz w:val="20"/>
                <w:szCs w:val="20"/>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right"/>
              <w:rPr>
                <w:rFonts w:ascii="Times New Roman" w:eastAsia="宋体" w:hAnsi="Times New Roman" w:cs="Times New Roman"/>
                <w:color w:val="000000"/>
                <w:sz w:val="20"/>
                <w:szCs w:val="20"/>
              </w:rPr>
            </w:pP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5AF" w:rsidRDefault="006B35AF">
            <w:pPr>
              <w:jc w:val="right"/>
              <w:rPr>
                <w:rFonts w:ascii="Times New Roman" w:eastAsia="宋体" w:hAnsi="Times New Roman" w:cs="Times New Roman"/>
                <w:color w:val="000000"/>
                <w:sz w:val="20"/>
                <w:szCs w:val="20"/>
              </w:rPr>
            </w:pPr>
          </w:p>
        </w:tc>
      </w:tr>
    </w:tbl>
    <w:p w:rsidR="006B35AF" w:rsidRDefault="00570D47">
      <w:pPr>
        <w:pStyle w:val="a6"/>
        <w:adjustRightInd w:val="0"/>
        <w:snapToGrid w:val="0"/>
        <w:spacing w:before="0" w:beforeAutospacing="0" w:after="0" w:afterAutospacing="0"/>
        <w:jc w:val="both"/>
        <w:rPr>
          <w:rFonts w:ascii="Times New Roman" w:hAnsi="Times New Roman" w:cs="Times New Roman"/>
          <w:sz w:val="20"/>
          <w:szCs w:val="20"/>
        </w:rPr>
      </w:pPr>
      <w:r>
        <w:rPr>
          <w:rFonts w:ascii="Times New Roman" w:cs="Times New Roman"/>
          <w:sz w:val="20"/>
          <w:szCs w:val="20"/>
        </w:rPr>
        <w:t>注：安徽生物工程学校没有安排政府购买服务支出，故本表无数据。</w:t>
      </w:r>
    </w:p>
    <w:p w:rsidR="006B35AF" w:rsidRDefault="006B35AF">
      <w:pPr>
        <w:pStyle w:val="a6"/>
        <w:adjustRightInd w:val="0"/>
        <w:snapToGrid w:val="0"/>
        <w:spacing w:before="0" w:beforeAutospacing="0" w:after="0" w:afterAutospacing="0" w:line="400" w:lineRule="exact"/>
        <w:jc w:val="both"/>
        <w:rPr>
          <w:rFonts w:ascii="Times New Roman" w:hAnsi="Times New Roman" w:cs="Times New Roman"/>
        </w:rPr>
      </w:pPr>
    </w:p>
    <w:p w:rsidR="006B35AF" w:rsidRDefault="006B35AF">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sectPr w:rsidR="006B35AF">
          <w:pgSz w:w="16838" w:h="11906" w:orient="landscape"/>
          <w:pgMar w:top="1797" w:right="1440" w:bottom="1797" w:left="1440" w:header="851" w:footer="992" w:gutter="0"/>
          <w:cols w:space="425"/>
          <w:docGrid w:linePitch="312"/>
        </w:sectPr>
      </w:pPr>
    </w:p>
    <w:p w:rsidR="006B35AF" w:rsidRDefault="00570D47">
      <w:pPr>
        <w:pStyle w:val="a6"/>
        <w:adjustRightInd w:val="0"/>
        <w:snapToGrid w:val="0"/>
        <w:spacing w:before="0" w:beforeAutospacing="0" w:after="0" w:afterAutospacing="0" w:line="600" w:lineRule="exact"/>
        <w:jc w:val="center"/>
        <w:rPr>
          <w:rFonts w:ascii="Times New Roman" w:eastAsia="黑体" w:hAnsi="Times New Roman" w:cs="Times New Roman"/>
          <w:bCs/>
          <w:sz w:val="36"/>
          <w:szCs w:val="36"/>
        </w:rPr>
      </w:pPr>
      <w:r>
        <w:rPr>
          <w:rFonts w:ascii="Times New Roman" w:eastAsia="黑体" w:hAnsi="黑体" w:cs="Times New Roman"/>
          <w:bCs/>
          <w:sz w:val="36"/>
          <w:szCs w:val="36"/>
        </w:rPr>
        <w:lastRenderedPageBreak/>
        <w:t>第三部分</w:t>
      </w:r>
      <w:r>
        <w:rPr>
          <w:rFonts w:ascii="Times New Roman" w:eastAsia="黑体" w:hAnsi="Times New Roman" w:cs="Times New Roman"/>
          <w:bCs/>
          <w:sz w:val="36"/>
          <w:szCs w:val="36"/>
        </w:rPr>
        <w:t xml:space="preserve"> 2023</w:t>
      </w:r>
      <w:r>
        <w:rPr>
          <w:rFonts w:ascii="Times New Roman" w:eastAsia="黑体" w:hAnsi="Times New Roman" w:cs="Times New Roman"/>
          <w:bCs/>
          <w:sz w:val="36"/>
          <w:szCs w:val="36"/>
        </w:rPr>
        <w:t>年</w:t>
      </w:r>
      <w:r>
        <w:rPr>
          <w:rFonts w:ascii="Times New Roman" w:eastAsia="黑体" w:hAnsi="黑体" w:cs="Times New Roman"/>
          <w:bCs/>
          <w:sz w:val="36"/>
          <w:szCs w:val="36"/>
        </w:rPr>
        <w:t>单位预算情况说明</w:t>
      </w:r>
    </w:p>
    <w:p w:rsidR="006B35AF" w:rsidRDefault="006B35AF">
      <w:pPr>
        <w:pStyle w:val="a6"/>
        <w:adjustRightInd w:val="0"/>
        <w:snapToGrid w:val="0"/>
        <w:spacing w:before="0" w:beforeAutospacing="0" w:after="0" w:afterAutospacing="0" w:line="600" w:lineRule="exact"/>
        <w:jc w:val="both"/>
        <w:rPr>
          <w:rFonts w:ascii="Times New Roman" w:eastAsia="黑体" w:hAnsi="Times New Roman" w:cs="Times New Roman"/>
          <w:bCs/>
          <w:sz w:val="32"/>
          <w:szCs w:val="32"/>
        </w:rPr>
      </w:pP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一、关于</w:t>
      </w:r>
      <w:r>
        <w:rPr>
          <w:rFonts w:ascii="Times New Roman" w:eastAsia="黑体" w:hAnsi="Times New Roman" w:cs="Times New Roman"/>
          <w:color w:val="000000" w:themeColor="text1"/>
          <w:sz w:val="32"/>
          <w:szCs w:val="32"/>
        </w:rPr>
        <w:t>2023</w:t>
      </w:r>
      <w:r>
        <w:rPr>
          <w:rFonts w:ascii="Times New Roman" w:eastAsia="黑体" w:hAnsi="Times New Roman" w:cs="Times New Roman"/>
          <w:color w:val="000000" w:themeColor="text1"/>
          <w:sz w:val="32"/>
          <w:szCs w:val="32"/>
        </w:rPr>
        <w:t>年收支总表的说明</w:t>
      </w:r>
    </w:p>
    <w:p w:rsidR="006B35AF" w:rsidRDefault="00570D47">
      <w:pPr>
        <w:pStyle w:val="a6"/>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按照综合预算的原则，安徽生物工程学校所有收入和支出均纳入</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预算管理。安徽生物工程学校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年收支总预算</w:t>
      </w:r>
      <w:r>
        <w:rPr>
          <w:rFonts w:ascii="Times New Roman" w:eastAsia="仿宋_GB2312" w:hAnsi="Times New Roman" w:cs="Times New Roman"/>
          <w:sz w:val="32"/>
          <w:szCs w:val="32"/>
        </w:rPr>
        <w:t>913.1</w:t>
      </w:r>
      <w:r>
        <w:rPr>
          <w:rFonts w:ascii="Times New Roman" w:eastAsia="仿宋_GB2312" w:hAnsi="Times New Roman" w:cs="Times New Roman"/>
          <w:sz w:val="32"/>
          <w:szCs w:val="32"/>
        </w:rPr>
        <w:t>万元，收入包括一般公共预算拨款收入、财政专户管理资金收入，支出包括：教育支出、社会保障和就业支出、卫生健康支出、住房保障支出。</w:t>
      </w:r>
    </w:p>
    <w:p w:rsidR="006B35AF" w:rsidRDefault="00570D47">
      <w:pPr>
        <w:pStyle w:val="a6"/>
        <w:adjustRightInd w:val="0"/>
        <w:snapToGrid w:val="0"/>
        <w:spacing w:before="0" w:beforeAutospacing="0" w:after="0" w:afterAutospacing="0" w:line="600" w:lineRule="exact"/>
        <w:ind w:firstLineChars="196" w:firstLine="627"/>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二、关于</w:t>
      </w:r>
      <w:r>
        <w:rPr>
          <w:rFonts w:ascii="Times New Roman" w:eastAsia="黑体" w:hAnsi="Times New Roman" w:cs="Times New Roman"/>
          <w:color w:val="000000" w:themeColor="text1"/>
          <w:sz w:val="32"/>
          <w:szCs w:val="32"/>
        </w:rPr>
        <w:t>2023</w:t>
      </w:r>
      <w:r>
        <w:rPr>
          <w:rFonts w:ascii="Times New Roman" w:eastAsia="黑体" w:hAnsi="Times New Roman" w:cs="Times New Roman"/>
          <w:color w:val="000000" w:themeColor="text1"/>
          <w:sz w:val="32"/>
          <w:szCs w:val="32"/>
        </w:rPr>
        <w:t>年收入总表的说明</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年收入预算</w:t>
      </w:r>
      <w:r>
        <w:rPr>
          <w:rFonts w:ascii="Times New Roman" w:eastAsia="仿宋_GB2312" w:hAnsi="Times New Roman" w:cs="Times New Roman"/>
          <w:sz w:val="32"/>
          <w:szCs w:val="32"/>
        </w:rPr>
        <w:t>913.</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万元，其中，本年收入</w:t>
      </w:r>
      <w:r>
        <w:rPr>
          <w:rFonts w:ascii="Times New Roman" w:eastAsia="仿宋_GB2312" w:hAnsi="Times New Roman" w:cs="Times New Roman"/>
          <w:sz w:val="32"/>
          <w:szCs w:val="32"/>
        </w:rPr>
        <w:t>898.4</w:t>
      </w:r>
      <w:r>
        <w:rPr>
          <w:rFonts w:ascii="Times New Roman" w:eastAsia="仿宋_GB2312" w:hAnsi="Times New Roman" w:cs="Times New Roman"/>
          <w:sz w:val="32"/>
          <w:szCs w:val="32"/>
        </w:rPr>
        <w:t>万元，上年结转结余</w:t>
      </w:r>
      <w:r>
        <w:rPr>
          <w:rFonts w:ascii="Times New Roman" w:eastAsia="仿宋_GB2312" w:hAnsi="Times New Roman" w:cs="Times New Roman"/>
          <w:sz w:val="32"/>
          <w:szCs w:val="32"/>
        </w:rPr>
        <w:t>14.7</w:t>
      </w:r>
      <w:r>
        <w:rPr>
          <w:rFonts w:ascii="Times New Roman" w:eastAsia="仿宋_GB2312" w:hAnsi="Times New Roman" w:cs="Times New Roman"/>
          <w:sz w:val="32"/>
          <w:szCs w:val="32"/>
        </w:rPr>
        <w:t>万元。</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（一）本年收入</w:t>
      </w:r>
      <w:r>
        <w:rPr>
          <w:rFonts w:ascii="Times New Roman" w:eastAsia="仿宋_GB2312" w:hAnsi="Times New Roman" w:cs="Times New Roman"/>
          <w:sz w:val="32"/>
          <w:szCs w:val="32"/>
        </w:rPr>
        <w:t>898.4</w:t>
      </w:r>
      <w:r>
        <w:rPr>
          <w:rFonts w:ascii="Times New Roman" w:eastAsia="仿宋_GB2312" w:hAnsi="Times New Roman" w:cs="Times New Roman"/>
          <w:sz w:val="32"/>
          <w:szCs w:val="32"/>
        </w:rPr>
        <w:t>万元，主要包括：一般公共预算拨款收入</w:t>
      </w:r>
      <w:r>
        <w:rPr>
          <w:rFonts w:ascii="Times New Roman" w:eastAsia="仿宋_GB2312" w:hAnsi="Times New Roman" w:cs="Times New Roman"/>
          <w:sz w:val="32"/>
          <w:szCs w:val="32"/>
        </w:rPr>
        <w:t>877.9</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97.7%</w:t>
      </w:r>
      <w:r>
        <w:rPr>
          <w:rFonts w:ascii="Times New Roman" w:eastAsia="仿宋_GB2312" w:hAnsi="Times New Roman" w:cs="Times New Roman"/>
          <w:sz w:val="32"/>
          <w:szCs w:val="32"/>
        </w:rPr>
        <w:t>，比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16.6%</w:t>
      </w:r>
      <w:r>
        <w:rPr>
          <w:rFonts w:ascii="Times New Roman" w:eastAsia="仿宋_GB2312" w:hAnsi="Times New Roman" w:cs="Times New Roman"/>
          <w:sz w:val="32"/>
          <w:szCs w:val="32"/>
        </w:rPr>
        <w:t>，增长原因主要是教育支出增加；财政专户管理资金收入</w:t>
      </w:r>
      <w:r>
        <w:rPr>
          <w:rFonts w:ascii="Times New Roman" w:eastAsia="仿宋_GB2312" w:hAnsi="Times New Roman" w:cs="Times New Roman"/>
          <w:sz w:val="32"/>
          <w:szCs w:val="32"/>
        </w:rPr>
        <w:t>20.5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19.5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85.4%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原因主要是学费和住宿费收入的</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（二）上年结转结余</w:t>
      </w:r>
      <w:r>
        <w:rPr>
          <w:rFonts w:ascii="Times New Roman" w:eastAsia="仿宋_GB2312" w:hAnsi="Times New Roman" w:cs="Times New Roman"/>
          <w:sz w:val="32"/>
          <w:szCs w:val="32"/>
        </w:rPr>
        <w:t>14.7</w:t>
      </w:r>
      <w:r>
        <w:rPr>
          <w:rFonts w:ascii="Times New Roman" w:eastAsia="仿宋_GB2312" w:hAnsi="Times New Roman" w:cs="Times New Roman"/>
          <w:sz w:val="32"/>
          <w:szCs w:val="32"/>
        </w:rPr>
        <w:t>万元，主要包括：一般公共预算拨款收入</w:t>
      </w:r>
      <w:r>
        <w:rPr>
          <w:rFonts w:ascii="Times New Roman" w:eastAsia="仿宋_GB2312" w:hAnsi="Times New Roman" w:cs="Times New Roman"/>
          <w:sz w:val="32"/>
          <w:szCs w:val="32"/>
        </w:rPr>
        <w:t>14.7</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100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14.7</w:t>
      </w:r>
      <w:r>
        <w:rPr>
          <w:rFonts w:ascii="Times New Roman" w:eastAsia="仿宋_GB2312" w:hAnsi="Times New Roman" w:cs="Times New Roman"/>
          <w:sz w:val="32"/>
          <w:szCs w:val="32"/>
        </w:rPr>
        <w:t>万元，增加原因是上年结转的指标在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年继续执行。</w:t>
      </w:r>
    </w:p>
    <w:p w:rsidR="006B35AF" w:rsidRDefault="00570D47">
      <w:pPr>
        <w:adjustRightInd w:val="0"/>
        <w:snapToGrid w:val="0"/>
        <w:spacing w:line="60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三、关于</w:t>
      </w:r>
      <w:r>
        <w:rPr>
          <w:rFonts w:ascii="Times New Roman" w:eastAsia="黑体" w:hAnsi="Times New Roman" w:cs="Times New Roman"/>
          <w:color w:val="000000" w:themeColor="text1"/>
          <w:kern w:val="0"/>
          <w:sz w:val="32"/>
          <w:szCs w:val="32"/>
        </w:rPr>
        <w:t>2023</w:t>
      </w:r>
      <w:r>
        <w:rPr>
          <w:rFonts w:ascii="Times New Roman" w:eastAsia="黑体" w:hAnsi="Times New Roman" w:cs="Times New Roman"/>
          <w:color w:val="000000" w:themeColor="text1"/>
          <w:kern w:val="0"/>
          <w:sz w:val="32"/>
          <w:szCs w:val="32"/>
        </w:rPr>
        <w:t>年支出总表的说明</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年支出预算</w:t>
      </w:r>
      <w:r>
        <w:rPr>
          <w:rFonts w:ascii="Times New Roman" w:eastAsia="仿宋_GB2312" w:hAnsi="Times New Roman" w:cs="Times New Roman"/>
          <w:sz w:val="32"/>
          <w:szCs w:val="32"/>
        </w:rPr>
        <w:t>913.</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预算增加</w:t>
      </w:r>
      <w:r>
        <w:rPr>
          <w:rFonts w:ascii="Times New Roman" w:eastAsia="仿宋_GB2312" w:hAnsi="Times New Roman" w:cs="Times New Roman"/>
          <w:sz w:val="32"/>
          <w:szCs w:val="32"/>
        </w:rPr>
        <w:t>12.</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，增长原因主要是</w:t>
      </w:r>
      <w:r>
        <w:rPr>
          <w:rFonts w:ascii="Times New Roman" w:eastAsia="仿宋_GB2312" w:hAnsi="Times New Roman" w:cs="Times New Roman" w:hint="eastAsia"/>
          <w:sz w:val="32"/>
          <w:szCs w:val="32"/>
        </w:rPr>
        <w:t>社会保障和就业支出增加</w:t>
      </w:r>
      <w:r>
        <w:rPr>
          <w:rFonts w:ascii="Times New Roman" w:eastAsia="仿宋_GB2312" w:hAnsi="Times New Roman" w:cs="Times New Roman"/>
          <w:sz w:val="32"/>
          <w:szCs w:val="32"/>
        </w:rPr>
        <w:t>。其中，基本支出</w:t>
      </w:r>
      <w:r>
        <w:rPr>
          <w:rFonts w:ascii="Times New Roman" w:eastAsia="仿宋_GB2312" w:hAnsi="Times New Roman" w:cs="Times New Roman"/>
          <w:sz w:val="32"/>
          <w:szCs w:val="32"/>
        </w:rPr>
        <w:t>770.4</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84.4%</w:t>
      </w:r>
      <w:r>
        <w:rPr>
          <w:rFonts w:ascii="Times New Roman" w:eastAsia="仿宋_GB2312" w:hAnsi="Times New Roman" w:cs="Times New Roman"/>
          <w:sz w:val="32"/>
          <w:szCs w:val="32"/>
        </w:rPr>
        <w:t>，主要用于保障机构日常运转、完成日常工作任务；项目支出</w:t>
      </w:r>
      <w:r>
        <w:rPr>
          <w:rFonts w:ascii="Times New Roman" w:eastAsia="仿宋_GB2312" w:hAnsi="Times New Roman" w:cs="Times New Roman"/>
          <w:sz w:val="32"/>
          <w:szCs w:val="32"/>
        </w:rPr>
        <w:t>142.7</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15.6%</w:t>
      </w:r>
      <w:r>
        <w:rPr>
          <w:rFonts w:ascii="Times New Roman" w:eastAsia="仿宋_GB2312" w:hAnsi="Times New Roman" w:cs="Times New Roman"/>
          <w:sz w:val="32"/>
          <w:szCs w:val="32"/>
        </w:rPr>
        <w:t>，主要用于保障中等职业教育</w:t>
      </w:r>
      <w:r>
        <w:rPr>
          <w:rFonts w:ascii="Times New Roman" w:eastAsia="仿宋_GB2312" w:hAnsi="Times New Roman" w:cs="Times New Roman"/>
          <w:color w:val="000000" w:themeColor="text1"/>
          <w:sz w:val="32"/>
          <w:szCs w:val="32"/>
        </w:rPr>
        <w:t>特定目标事务支出</w:t>
      </w:r>
      <w:r>
        <w:rPr>
          <w:rFonts w:ascii="Times New Roman" w:eastAsia="仿宋_GB2312" w:hAnsi="Times New Roman" w:cs="Times New Roman"/>
          <w:sz w:val="32"/>
          <w:szCs w:val="32"/>
        </w:rPr>
        <w:t>。</w:t>
      </w:r>
    </w:p>
    <w:p w:rsidR="006B35AF" w:rsidRDefault="00570D47">
      <w:pPr>
        <w:adjustRightInd w:val="0"/>
        <w:snapToGrid w:val="0"/>
        <w:spacing w:line="600" w:lineRule="exact"/>
        <w:ind w:firstLineChars="200" w:firstLine="640"/>
        <w:rPr>
          <w:rFonts w:ascii="Times New Roman" w:eastAsia="黑体" w:hAnsi="Times New Roman" w:cs="Times New Roman"/>
          <w:color w:val="000000" w:themeColor="text1"/>
          <w:kern w:val="0"/>
          <w:sz w:val="32"/>
          <w:szCs w:val="32"/>
        </w:rPr>
      </w:pPr>
      <w:r>
        <w:rPr>
          <w:rFonts w:ascii="Times New Roman" w:eastAsia="黑体" w:hAnsi="Times New Roman" w:cs="Times New Roman"/>
          <w:color w:val="000000" w:themeColor="text1"/>
          <w:kern w:val="0"/>
          <w:sz w:val="32"/>
          <w:szCs w:val="32"/>
        </w:rPr>
        <w:t>四、关于</w:t>
      </w:r>
      <w:r>
        <w:rPr>
          <w:rFonts w:ascii="Times New Roman" w:eastAsia="黑体" w:hAnsi="Times New Roman" w:cs="Times New Roman"/>
          <w:color w:val="000000" w:themeColor="text1"/>
          <w:kern w:val="0"/>
          <w:sz w:val="32"/>
          <w:szCs w:val="32"/>
        </w:rPr>
        <w:t>2023</w:t>
      </w:r>
      <w:r>
        <w:rPr>
          <w:rFonts w:ascii="Times New Roman" w:eastAsia="黑体" w:hAnsi="Times New Roman" w:cs="Times New Roman"/>
          <w:color w:val="000000" w:themeColor="text1"/>
          <w:kern w:val="0"/>
          <w:sz w:val="32"/>
          <w:szCs w:val="32"/>
        </w:rPr>
        <w:t>年财政拨款收支总表的说明</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kern w:val="2"/>
          <w:sz w:val="32"/>
          <w:szCs w:val="32"/>
        </w:rPr>
        <w:t>2023</w:t>
      </w:r>
      <w:r>
        <w:rPr>
          <w:rFonts w:ascii="Times New Roman" w:eastAsia="仿宋_GB2312" w:hAnsi="Times New Roman" w:cs="Times New Roman"/>
          <w:kern w:val="2"/>
          <w:sz w:val="32"/>
          <w:szCs w:val="32"/>
        </w:rPr>
        <w:t>年财政拨款收支预算</w:t>
      </w:r>
      <w:r>
        <w:rPr>
          <w:rFonts w:ascii="Times New Roman" w:eastAsia="仿宋_GB2312" w:hAnsi="Times New Roman" w:cs="Times New Roman"/>
          <w:kern w:val="2"/>
          <w:sz w:val="32"/>
          <w:szCs w:val="32"/>
        </w:rPr>
        <w:t>892.6</w:t>
      </w:r>
      <w:r>
        <w:rPr>
          <w:rFonts w:ascii="Times New Roman" w:eastAsia="仿宋_GB2312" w:hAnsi="Times New Roman" w:cs="Times New Roman"/>
          <w:kern w:val="2"/>
          <w:sz w:val="32"/>
          <w:szCs w:val="32"/>
        </w:rPr>
        <w:t>万元。收入按资金来源分为：一般公共预算拨款</w:t>
      </w:r>
      <w:r>
        <w:rPr>
          <w:rFonts w:ascii="Times New Roman" w:eastAsia="仿宋_GB2312" w:hAnsi="Times New Roman" w:cs="Times New Roman"/>
          <w:kern w:val="2"/>
          <w:sz w:val="32"/>
          <w:szCs w:val="32"/>
        </w:rPr>
        <w:t>892.6</w:t>
      </w:r>
      <w:r>
        <w:rPr>
          <w:rFonts w:ascii="Times New Roman" w:eastAsia="仿宋_GB2312" w:hAnsi="Times New Roman" w:cs="Times New Roman"/>
          <w:kern w:val="2"/>
          <w:sz w:val="32"/>
          <w:szCs w:val="32"/>
        </w:rPr>
        <w:t>万元；按资金年度分为：本年财政拨款收入</w:t>
      </w:r>
      <w:r>
        <w:rPr>
          <w:rFonts w:ascii="Times New Roman" w:eastAsia="仿宋_GB2312" w:hAnsi="Times New Roman" w:cs="Times New Roman"/>
          <w:kern w:val="2"/>
          <w:sz w:val="32"/>
          <w:szCs w:val="32"/>
        </w:rPr>
        <w:t>877.9</w:t>
      </w:r>
      <w:r>
        <w:rPr>
          <w:rFonts w:ascii="Times New Roman" w:eastAsia="仿宋_GB2312" w:hAnsi="Times New Roman" w:cs="Times New Roman"/>
          <w:kern w:val="2"/>
          <w:sz w:val="32"/>
          <w:szCs w:val="32"/>
        </w:rPr>
        <w:t>万元，上年结转收入</w:t>
      </w:r>
      <w:r>
        <w:rPr>
          <w:rFonts w:ascii="Times New Roman" w:eastAsia="仿宋_GB2312" w:hAnsi="Times New Roman" w:cs="Times New Roman"/>
          <w:kern w:val="2"/>
          <w:sz w:val="32"/>
          <w:szCs w:val="32"/>
        </w:rPr>
        <w:t>14.7</w:t>
      </w:r>
      <w:r>
        <w:rPr>
          <w:rFonts w:ascii="Times New Roman" w:eastAsia="仿宋_GB2312" w:hAnsi="Times New Roman" w:cs="Times New Roman"/>
          <w:kern w:val="2"/>
          <w:sz w:val="32"/>
          <w:szCs w:val="32"/>
        </w:rPr>
        <w:t>万元。支出按功能分类分为：教育支出</w:t>
      </w:r>
      <w:r>
        <w:rPr>
          <w:rFonts w:ascii="Times New Roman" w:eastAsia="仿宋_GB2312" w:hAnsi="Times New Roman" w:cs="Times New Roman"/>
          <w:kern w:val="2"/>
          <w:sz w:val="32"/>
          <w:szCs w:val="32"/>
        </w:rPr>
        <w:t>757.1</w:t>
      </w:r>
      <w:r>
        <w:rPr>
          <w:rFonts w:ascii="Times New Roman" w:eastAsia="仿宋_GB2312" w:hAnsi="Times New Roman" w:cs="Times New Roman"/>
          <w:kern w:val="2"/>
          <w:sz w:val="32"/>
          <w:szCs w:val="32"/>
        </w:rPr>
        <w:t>万元，占</w:t>
      </w:r>
      <w:r>
        <w:rPr>
          <w:rFonts w:ascii="Times New Roman" w:eastAsia="仿宋_GB2312" w:hAnsi="Times New Roman" w:cs="Times New Roman"/>
          <w:kern w:val="2"/>
          <w:sz w:val="32"/>
          <w:szCs w:val="32"/>
        </w:rPr>
        <w:t>84.8%</w:t>
      </w:r>
      <w:r>
        <w:rPr>
          <w:rFonts w:ascii="Times New Roman" w:eastAsia="仿宋_GB2312" w:hAnsi="Times New Roman" w:cs="Times New Roman"/>
          <w:kern w:val="2"/>
          <w:sz w:val="32"/>
          <w:szCs w:val="32"/>
        </w:rPr>
        <w:t>；社会保障和就业支出</w:t>
      </w:r>
      <w:r>
        <w:rPr>
          <w:rFonts w:ascii="Times New Roman" w:eastAsia="仿宋_GB2312" w:hAnsi="Times New Roman" w:cs="Times New Roman"/>
          <w:kern w:val="2"/>
          <w:sz w:val="32"/>
          <w:szCs w:val="32"/>
        </w:rPr>
        <w:t>126.6</w:t>
      </w:r>
      <w:r>
        <w:rPr>
          <w:rFonts w:ascii="Times New Roman" w:eastAsia="仿宋_GB2312" w:hAnsi="Times New Roman" w:cs="Times New Roman"/>
          <w:kern w:val="2"/>
          <w:sz w:val="32"/>
          <w:szCs w:val="32"/>
        </w:rPr>
        <w:t>万元，占</w:t>
      </w:r>
      <w:r>
        <w:rPr>
          <w:rFonts w:ascii="Times New Roman" w:eastAsia="仿宋_GB2312" w:hAnsi="Times New Roman" w:cs="Times New Roman"/>
          <w:kern w:val="2"/>
          <w:sz w:val="32"/>
          <w:szCs w:val="32"/>
        </w:rPr>
        <w:t>14.2%</w:t>
      </w:r>
      <w:r>
        <w:rPr>
          <w:rFonts w:ascii="Times New Roman" w:eastAsia="仿宋_GB2312" w:hAnsi="Times New Roman" w:cs="Times New Roman"/>
          <w:kern w:val="2"/>
          <w:sz w:val="32"/>
          <w:szCs w:val="32"/>
        </w:rPr>
        <w:t>；卫生健康支出</w:t>
      </w:r>
      <w:r>
        <w:rPr>
          <w:rFonts w:ascii="Times New Roman" w:eastAsia="仿宋_GB2312" w:hAnsi="Times New Roman" w:cs="Times New Roman"/>
          <w:kern w:val="2"/>
          <w:sz w:val="32"/>
          <w:szCs w:val="32"/>
        </w:rPr>
        <w:t>2.4</w:t>
      </w:r>
      <w:r>
        <w:rPr>
          <w:rFonts w:ascii="Times New Roman" w:eastAsia="仿宋_GB2312" w:hAnsi="Times New Roman" w:cs="Times New Roman"/>
          <w:kern w:val="2"/>
          <w:sz w:val="32"/>
          <w:szCs w:val="32"/>
        </w:rPr>
        <w:t>万元，占</w:t>
      </w:r>
      <w:r>
        <w:rPr>
          <w:rFonts w:ascii="Times New Roman" w:eastAsia="仿宋_GB2312" w:hAnsi="Times New Roman" w:cs="Times New Roman"/>
          <w:kern w:val="2"/>
          <w:sz w:val="32"/>
          <w:szCs w:val="32"/>
        </w:rPr>
        <w:t>0.2%</w:t>
      </w:r>
      <w:r>
        <w:rPr>
          <w:rFonts w:ascii="Times New Roman" w:eastAsia="仿宋_GB2312" w:hAnsi="Times New Roman" w:cs="Times New Roman"/>
          <w:kern w:val="2"/>
          <w:sz w:val="32"/>
          <w:szCs w:val="32"/>
        </w:rPr>
        <w:t>；住房保障支出</w:t>
      </w:r>
      <w:r>
        <w:rPr>
          <w:rFonts w:ascii="Times New Roman" w:eastAsia="仿宋_GB2312" w:hAnsi="Times New Roman" w:cs="Times New Roman"/>
          <w:kern w:val="2"/>
          <w:sz w:val="32"/>
          <w:szCs w:val="32"/>
        </w:rPr>
        <w:t>6.5</w:t>
      </w:r>
      <w:r>
        <w:rPr>
          <w:rFonts w:ascii="Times New Roman" w:eastAsia="仿宋_GB2312" w:hAnsi="Times New Roman" w:cs="Times New Roman"/>
          <w:kern w:val="2"/>
          <w:sz w:val="32"/>
          <w:szCs w:val="32"/>
        </w:rPr>
        <w:t>万元，占</w:t>
      </w:r>
      <w:r>
        <w:rPr>
          <w:rFonts w:ascii="Times New Roman" w:eastAsia="仿宋_GB2312" w:hAnsi="Times New Roman" w:cs="Times New Roman"/>
          <w:kern w:val="2"/>
          <w:sz w:val="32"/>
          <w:szCs w:val="32"/>
        </w:rPr>
        <w:t>0.8%</w:t>
      </w:r>
      <w:r>
        <w:rPr>
          <w:rFonts w:ascii="Times New Roman" w:eastAsia="仿宋_GB2312" w:hAnsi="Times New Roman" w:cs="Times New Roman"/>
          <w:kern w:val="2"/>
          <w:sz w:val="32"/>
          <w:szCs w:val="32"/>
        </w:rPr>
        <w:t>。</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五、关于</w:t>
      </w:r>
      <w:r>
        <w:rPr>
          <w:rFonts w:ascii="Times New Roman" w:eastAsia="黑体" w:hAnsi="Times New Roman" w:cs="Times New Roman"/>
          <w:color w:val="000000" w:themeColor="text1"/>
          <w:sz w:val="32"/>
          <w:szCs w:val="32"/>
        </w:rPr>
        <w:t>2023</w:t>
      </w:r>
      <w:r>
        <w:rPr>
          <w:rFonts w:ascii="Times New Roman" w:eastAsia="黑体" w:hAnsi="Times New Roman" w:cs="Times New Roman"/>
          <w:color w:val="000000" w:themeColor="text1"/>
          <w:sz w:val="32"/>
          <w:szCs w:val="32"/>
        </w:rPr>
        <w:t>年一般公共预算支出表的说明</w:t>
      </w:r>
    </w:p>
    <w:p w:rsidR="006B35AF" w:rsidRDefault="00570D47" w:rsidP="00FA2640">
      <w:pPr>
        <w:pStyle w:val="a6"/>
        <w:adjustRightInd w:val="0"/>
        <w:snapToGrid w:val="0"/>
        <w:spacing w:before="0" w:beforeAutospacing="0" w:after="0" w:afterAutospacing="0" w:line="600" w:lineRule="exact"/>
        <w:ind w:firstLineChars="196" w:firstLine="630"/>
        <w:jc w:val="both"/>
        <w:rPr>
          <w:rFonts w:ascii="Times New Roman" w:eastAsia="楷体_GB2312" w:hAnsi="Times New Roman" w:cs="Times New Roman"/>
          <w:b/>
          <w:kern w:val="2"/>
          <w:sz w:val="32"/>
          <w:szCs w:val="32"/>
        </w:rPr>
      </w:pPr>
      <w:r>
        <w:rPr>
          <w:rFonts w:ascii="Times New Roman" w:eastAsia="楷体_GB2312" w:hAnsi="Times New Roman" w:cs="Times New Roman"/>
          <w:b/>
          <w:kern w:val="2"/>
          <w:sz w:val="32"/>
          <w:szCs w:val="32"/>
        </w:rPr>
        <w:t>（一）一般公共预算支出规模变化情况。</w:t>
      </w:r>
    </w:p>
    <w:p w:rsidR="006B35AF" w:rsidRDefault="00570D47">
      <w:pPr>
        <w:pStyle w:val="a6"/>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kern w:val="2"/>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kern w:val="2"/>
          <w:sz w:val="32"/>
          <w:szCs w:val="32"/>
        </w:rPr>
        <w:t>2023</w:t>
      </w:r>
      <w:r>
        <w:rPr>
          <w:rFonts w:ascii="Times New Roman" w:eastAsia="仿宋_GB2312" w:hAnsi="Times New Roman" w:cs="Times New Roman"/>
          <w:kern w:val="2"/>
          <w:sz w:val="32"/>
          <w:szCs w:val="32"/>
        </w:rPr>
        <w:t>年一般公共预算支出</w:t>
      </w:r>
      <w:r>
        <w:rPr>
          <w:rFonts w:ascii="Times New Roman" w:eastAsia="仿宋_GB2312" w:hAnsi="Times New Roman" w:cs="Times New Roman" w:hint="eastAsia"/>
          <w:kern w:val="2"/>
          <w:sz w:val="32"/>
          <w:szCs w:val="32"/>
        </w:rPr>
        <w:t>8</w:t>
      </w:r>
      <w:r>
        <w:rPr>
          <w:rFonts w:ascii="Times New Roman" w:eastAsia="仿宋_GB2312" w:hAnsi="Times New Roman" w:cs="Times New Roman"/>
          <w:kern w:val="2"/>
          <w:sz w:val="32"/>
          <w:szCs w:val="32"/>
        </w:rPr>
        <w:t>92.6</w:t>
      </w:r>
      <w:r>
        <w:rPr>
          <w:rFonts w:ascii="Times New Roman" w:eastAsia="仿宋_GB2312" w:hAnsi="Times New Roman" w:cs="Times New Roman"/>
          <w:kern w:val="2"/>
          <w:sz w:val="32"/>
          <w:szCs w:val="32"/>
        </w:rPr>
        <w:t>万元，比</w:t>
      </w:r>
      <w:r>
        <w:rPr>
          <w:rFonts w:ascii="Times New Roman" w:eastAsia="仿宋_GB2312" w:hAnsi="Times New Roman" w:cs="Times New Roman"/>
          <w:kern w:val="2"/>
          <w:sz w:val="32"/>
          <w:szCs w:val="32"/>
        </w:rPr>
        <w:t>2022</w:t>
      </w:r>
      <w:r>
        <w:rPr>
          <w:rFonts w:ascii="Times New Roman" w:eastAsia="仿宋_GB2312" w:hAnsi="Times New Roman" w:cs="Times New Roman"/>
          <w:kern w:val="2"/>
          <w:sz w:val="32"/>
          <w:szCs w:val="32"/>
        </w:rPr>
        <w:t>年预算增加</w:t>
      </w:r>
      <w:r>
        <w:rPr>
          <w:rFonts w:ascii="Times New Roman" w:eastAsia="仿宋_GB2312" w:hAnsi="Times New Roman" w:cs="Times New Roman"/>
          <w:kern w:val="2"/>
          <w:sz w:val="32"/>
          <w:szCs w:val="32"/>
        </w:rPr>
        <w:t>132.2</w:t>
      </w:r>
      <w:r>
        <w:rPr>
          <w:rFonts w:ascii="Times New Roman" w:eastAsia="仿宋_GB2312" w:hAnsi="Times New Roman" w:cs="Times New Roman"/>
          <w:kern w:val="2"/>
          <w:sz w:val="32"/>
          <w:szCs w:val="32"/>
        </w:rPr>
        <w:t>万元，增长</w:t>
      </w:r>
      <w:r>
        <w:rPr>
          <w:rFonts w:ascii="Times New Roman" w:eastAsia="仿宋_GB2312" w:hAnsi="Times New Roman" w:cs="Times New Roman"/>
          <w:kern w:val="2"/>
          <w:sz w:val="32"/>
          <w:szCs w:val="32"/>
        </w:rPr>
        <w:t>17.4%</w:t>
      </w:r>
      <w:r>
        <w:rPr>
          <w:rFonts w:ascii="Times New Roman" w:eastAsia="仿宋_GB2312" w:hAnsi="Times New Roman" w:cs="Times New Roman"/>
          <w:kern w:val="2"/>
          <w:sz w:val="32"/>
          <w:szCs w:val="32"/>
        </w:rPr>
        <w:t>，</w:t>
      </w:r>
      <w:r>
        <w:rPr>
          <w:rFonts w:ascii="Times New Roman" w:eastAsia="仿宋_GB2312" w:hAnsi="Times New Roman" w:cs="Times New Roman"/>
          <w:sz w:val="32"/>
          <w:szCs w:val="32"/>
        </w:rPr>
        <w:t>增长原因</w:t>
      </w:r>
      <w:r>
        <w:rPr>
          <w:rFonts w:ascii="Times New Roman" w:eastAsia="仿宋_GB2312" w:hAnsi="Times New Roman" w:cs="Times New Roman"/>
          <w:kern w:val="2"/>
          <w:sz w:val="32"/>
          <w:szCs w:val="32"/>
        </w:rPr>
        <w:t>主要是</w:t>
      </w:r>
      <w:r>
        <w:rPr>
          <w:rFonts w:ascii="Times New Roman" w:eastAsia="仿宋_GB2312" w:hAnsi="Times New Roman" w:cs="Times New Roman"/>
          <w:bCs/>
          <w:color w:val="000000"/>
          <w:sz w:val="32"/>
          <w:szCs w:val="32"/>
        </w:rPr>
        <w:t>中央财政提前下达资金列入年初预算（现代职业教育质量提升计划资金</w:t>
      </w:r>
      <w:r>
        <w:rPr>
          <w:rFonts w:ascii="Times New Roman" w:eastAsia="仿宋_GB2312" w:hAnsi="Times New Roman" w:cs="Times New Roman" w:hint="eastAsia"/>
          <w:bCs/>
          <w:color w:val="000000"/>
          <w:sz w:val="32"/>
          <w:szCs w:val="32"/>
        </w:rPr>
        <w:t>42.0</w:t>
      </w:r>
      <w:r>
        <w:rPr>
          <w:rFonts w:ascii="Times New Roman" w:eastAsia="仿宋_GB2312" w:hAnsi="Times New Roman" w:cs="Times New Roman"/>
          <w:bCs/>
          <w:color w:val="000000"/>
          <w:sz w:val="32"/>
          <w:szCs w:val="32"/>
        </w:rPr>
        <w:t>万元、学生资助补助经费</w:t>
      </w:r>
      <w:r>
        <w:rPr>
          <w:rFonts w:ascii="Times New Roman" w:eastAsia="仿宋_GB2312" w:hAnsi="Times New Roman" w:cs="Times New Roman" w:hint="eastAsia"/>
          <w:bCs/>
          <w:color w:val="000000"/>
          <w:sz w:val="32"/>
          <w:szCs w:val="32"/>
        </w:rPr>
        <w:t>39.1</w:t>
      </w:r>
      <w:r>
        <w:rPr>
          <w:rFonts w:ascii="Times New Roman" w:eastAsia="仿宋_GB2312" w:hAnsi="Times New Roman" w:cs="Times New Roman"/>
          <w:bCs/>
          <w:color w:val="000000"/>
          <w:sz w:val="32"/>
          <w:szCs w:val="32"/>
        </w:rPr>
        <w:t>万元）</w:t>
      </w:r>
      <w:r>
        <w:rPr>
          <w:rFonts w:ascii="Times New Roman" w:eastAsia="仿宋_GB2312" w:hAnsi="Times New Roman" w:cs="Times New Roman"/>
          <w:kern w:val="2"/>
          <w:sz w:val="32"/>
          <w:szCs w:val="32"/>
        </w:rPr>
        <w:t>；</w:t>
      </w:r>
      <w:r>
        <w:rPr>
          <w:rFonts w:ascii="Times New Roman" w:eastAsia="仿宋_GB2312" w:hAnsi="Times New Roman" w:cs="Times New Roman"/>
          <w:sz w:val="32"/>
          <w:szCs w:val="32"/>
        </w:rPr>
        <w:t>退休人员</w:t>
      </w:r>
      <w:r>
        <w:rPr>
          <w:rFonts w:ascii="Times New Roman" w:eastAsia="仿宋_GB2312" w:hAnsi="Times New Roman" w:cs="Times New Roman" w:hint="eastAsia"/>
          <w:sz w:val="32"/>
          <w:szCs w:val="32"/>
        </w:rPr>
        <w:t>增加补贴纳入年初预算</w:t>
      </w:r>
      <w:r>
        <w:rPr>
          <w:rFonts w:ascii="Times New Roman" w:eastAsia="仿宋_GB2312" w:hAnsi="Times New Roman" w:cs="Times New Roman"/>
          <w:sz w:val="32"/>
          <w:szCs w:val="32"/>
        </w:rPr>
        <w:t>。</w:t>
      </w:r>
    </w:p>
    <w:p w:rsidR="006B35AF" w:rsidRDefault="00570D47" w:rsidP="00FA2640">
      <w:pPr>
        <w:pStyle w:val="a6"/>
        <w:adjustRightInd w:val="0"/>
        <w:snapToGrid w:val="0"/>
        <w:spacing w:before="0" w:beforeAutospacing="0" w:after="0" w:afterAutospacing="0" w:line="600" w:lineRule="exact"/>
        <w:ind w:firstLineChars="196" w:firstLine="630"/>
        <w:jc w:val="both"/>
        <w:rPr>
          <w:rFonts w:ascii="Times New Roman" w:eastAsia="楷体_GB2312" w:hAnsi="Times New Roman" w:cs="Times New Roman"/>
          <w:b/>
          <w:kern w:val="2"/>
          <w:sz w:val="32"/>
          <w:szCs w:val="32"/>
        </w:rPr>
      </w:pPr>
      <w:r>
        <w:rPr>
          <w:rFonts w:ascii="Times New Roman" w:eastAsia="楷体_GB2312" w:hAnsi="Times New Roman" w:cs="Times New Roman"/>
          <w:b/>
          <w:kern w:val="2"/>
          <w:sz w:val="32"/>
          <w:szCs w:val="32"/>
        </w:rPr>
        <w:t>（二）一般公共预算支出结构情况。</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教育支出</w:t>
      </w:r>
      <w:r>
        <w:rPr>
          <w:rFonts w:ascii="Times New Roman" w:eastAsia="仿宋_GB2312" w:hAnsi="Times New Roman" w:cs="Times New Roman"/>
          <w:sz w:val="32"/>
          <w:szCs w:val="32"/>
        </w:rPr>
        <w:t>757.1</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84.8%</w:t>
      </w:r>
      <w:r>
        <w:rPr>
          <w:rFonts w:ascii="Times New Roman" w:eastAsia="仿宋_GB2312" w:hAnsi="Times New Roman" w:cs="Times New Roman"/>
          <w:sz w:val="32"/>
          <w:szCs w:val="32"/>
        </w:rPr>
        <w:t>；社会保障和就业支出</w:t>
      </w:r>
      <w:r>
        <w:rPr>
          <w:rFonts w:ascii="Times New Roman" w:eastAsia="仿宋_GB2312" w:hAnsi="Times New Roman" w:cs="Times New Roman"/>
          <w:sz w:val="32"/>
          <w:szCs w:val="32"/>
        </w:rPr>
        <w:t>126.6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14.2%</w:t>
      </w:r>
      <w:r>
        <w:rPr>
          <w:rFonts w:ascii="Times New Roman" w:eastAsia="仿宋_GB2312" w:hAnsi="Times New Roman" w:cs="Times New Roman"/>
          <w:sz w:val="32"/>
          <w:szCs w:val="32"/>
        </w:rPr>
        <w:t>；卫生健康支出</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0.2%</w:t>
      </w:r>
      <w:r>
        <w:rPr>
          <w:rFonts w:ascii="Times New Roman" w:eastAsia="仿宋_GB2312" w:hAnsi="Times New Roman" w:cs="Times New Roman"/>
          <w:sz w:val="32"/>
          <w:szCs w:val="32"/>
        </w:rPr>
        <w:t>；住房保障支出</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0.8%</w:t>
      </w:r>
      <w:r>
        <w:rPr>
          <w:rFonts w:ascii="Times New Roman" w:eastAsia="仿宋_GB2312" w:hAnsi="Times New Roman" w:cs="Times New Roman"/>
          <w:sz w:val="32"/>
          <w:szCs w:val="32"/>
        </w:rPr>
        <w:t>。</w:t>
      </w:r>
    </w:p>
    <w:p w:rsidR="006B35AF" w:rsidRDefault="00570D47" w:rsidP="00FA2640">
      <w:pPr>
        <w:adjustRightInd w:val="0"/>
        <w:snapToGri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（三）一般公共预算支出具体使用情况。</w:t>
      </w:r>
    </w:p>
    <w:p w:rsidR="006B35AF" w:rsidRDefault="00570D47" w:rsidP="00FA2640">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教育支出（类）职业教育（款）中等职业教育（项）</w:t>
      </w:r>
      <w:r>
        <w:rPr>
          <w:rFonts w:ascii="Times New Roman" w:eastAsia="仿宋_GB2312" w:hAnsi="Times New Roman" w:cs="Times New Roman"/>
          <w:sz w:val="32"/>
          <w:szCs w:val="32"/>
        </w:rPr>
        <w:t>757.1</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9.5</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，增长原因主要是公用经费</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项目支出预算增加。</w:t>
      </w:r>
    </w:p>
    <w:p w:rsidR="006B35AF" w:rsidRDefault="00570D47" w:rsidP="00FA2640">
      <w:pPr>
        <w:adjustRightInd w:val="0"/>
        <w:snapToGrid w:val="0"/>
        <w:spacing w:line="60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社会保障和就业支出（类）行政事业单位养老支出（款）事业单位离退休（项）</w:t>
      </w:r>
      <w:r>
        <w:rPr>
          <w:rFonts w:ascii="Times New Roman" w:eastAsia="仿宋_GB2312" w:hAnsi="Times New Roman" w:cs="Times New Roman"/>
          <w:sz w:val="32"/>
          <w:szCs w:val="32"/>
        </w:rPr>
        <w:t>126.6</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121.6</w:t>
      </w:r>
      <w:r>
        <w:rPr>
          <w:rFonts w:ascii="Times New Roman" w:eastAsia="仿宋_GB2312" w:hAnsi="Times New Roman" w:cs="Times New Roman"/>
          <w:sz w:val="32"/>
          <w:szCs w:val="32"/>
        </w:rPr>
        <w:t>万元，增长</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432%</w:t>
      </w:r>
      <w:r>
        <w:rPr>
          <w:rFonts w:ascii="Times New Roman" w:eastAsia="仿宋_GB2312" w:hAnsi="Times New Roman" w:cs="Times New Roman"/>
          <w:sz w:val="32"/>
          <w:szCs w:val="32"/>
        </w:rPr>
        <w:t>，增长原因</w:t>
      </w:r>
      <w:r>
        <w:rPr>
          <w:rFonts w:ascii="Times New Roman" w:eastAsia="仿宋_GB2312" w:hAnsi="Times New Roman" w:cs="Times New Roman"/>
          <w:bCs/>
          <w:sz w:val="32"/>
          <w:szCs w:val="32"/>
        </w:rPr>
        <w:t>主要是</w:t>
      </w:r>
      <w:r>
        <w:rPr>
          <w:rFonts w:ascii="Times New Roman" w:eastAsia="仿宋_GB2312" w:hAnsi="Times New Roman" w:cs="Times New Roman" w:hint="eastAsia"/>
          <w:bCs/>
          <w:sz w:val="32"/>
          <w:szCs w:val="32"/>
        </w:rPr>
        <w:t>退休人员增加补贴纳入年初预算</w:t>
      </w:r>
      <w:r>
        <w:rPr>
          <w:rFonts w:ascii="Times New Roman" w:eastAsia="仿宋_GB2312" w:hAnsi="Times New Roman" w:cs="Times New Roman"/>
          <w:sz w:val="32"/>
          <w:szCs w:val="32"/>
        </w:rPr>
        <w:t>。</w:t>
      </w:r>
    </w:p>
    <w:p w:rsidR="006B35AF" w:rsidRDefault="00570D47" w:rsidP="00FA2640">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卫生健康支出（类）行政事业单位医疗（款）事业单位医疗（项）</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0.8</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，增长原因主要是</w:t>
      </w:r>
      <w:r>
        <w:rPr>
          <w:rFonts w:ascii="Times New Roman" w:eastAsia="仿宋_GB2312" w:hAnsi="Times New Roman" w:cs="Times New Roman" w:hint="eastAsia"/>
          <w:sz w:val="32"/>
          <w:szCs w:val="32"/>
        </w:rPr>
        <w:t>缴费基数调整相应增加预算</w:t>
      </w:r>
      <w:r>
        <w:rPr>
          <w:rFonts w:ascii="Times New Roman" w:eastAsia="仿宋_GB2312" w:hAnsi="Times New Roman" w:cs="Times New Roman"/>
          <w:sz w:val="32"/>
          <w:szCs w:val="32"/>
        </w:rPr>
        <w:t>。</w:t>
      </w:r>
    </w:p>
    <w:p w:rsidR="006B35AF" w:rsidRDefault="00570D47" w:rsidP="00FA2640">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住房保障支出（类）住房改革支出（款）提租补贴（项）</w:t>
      </w:r>
      <w:r>
        <w:rPr>
          <w:rFonts w:ascii="Times New Roman" w:eastAsia="仿宋_GB2312" w:hAnsi="Times New Roman" w:cs="Times New Roman"/>
          <w:sz w:val="32"/>
          <w:szCs w:val="32"/>
        </w:rPr>
        <w:t>6.</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0.3</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，增长原因主要是</w:t>
      </w:r>
      <w:r>
        <w:rPr>
          <w:rFonts w:ascii="Times New Roman" w:eastAsia="仿宋_GB2312" w:hAnsi="Times New Roman" w:cs="Times New Roman" w:hint="eastAsia"/>
          <w:sz w:val="32"/>
          <w:szCs w:val="32"/>
        </w:rPr>
        <w:t>缴费基数调整相应增加预算</w:t>
      </w:r>
      <w:r>
        <w:rPr>
          <w:rFonts w:ascii="Times New Roman" w:eastAsia="仿宋_GB2312" w:hAnsi="Times New Roman" w:cs="Times New Roman"/>
          <w:sz w:val="32"/>
          <w:szCs w:val="32"/>
        </w:rPr>
        <w:t>。</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color w:val="000000" w:themeColor="text1"/>
        </w:rPr>
      </w:pPr>
      <w:r>
        <w:rPr>
          <w:rFonts w:ascii="Times New Roman" w:eastAsia="黑体" w:hAnsi="Times New Roman" w:cs="Times New Roman"/>
          <w:color w:val="000000" w:themeColor="text1"/>
          <w:kern w:val="2"/>
          <w:sz w:val="32"/>
          <w:szCs w:val="32"/>
        </w:rPr>
        <w:t>六、关于</w:t>
      </w:r>
      <w:r>
        <w:rPr>
          <w:rFonts w:ascii="Times New Roman" w:eastAsia="黑体" w:hAnsi="Times New Roman" w:cs="Times New Roman"/>
          <w:color w:val="000000" w:themeColor="text1"/>
          <w:kern w:val="2"/>
          <w:sz w:val="32"/>
          <w:szCs w:val="32"/>
        </w:rPr>
        <w:t>2023</w:t>
      </w:r>
      <w:r>
        <w:rPr>
          <w:rFonts w:ascii="Times New Roman" w:eastAsia="黑体" w:hAnsi="Times New Roman" w:cs="Times New Roman"/>
          <w:color w:val="000000" w:themeColor="text1"/>
          <w:kern w:val="2"/>
          <w:sz w:val="32"/>
          <w:szCs w:val="32"/>
        </w:rPr>
        <w:t>年一般公共预算基本支出表的说明</w:t>
      </w:r>
    </w:p>
    <w:p w:rsidR="006B35AF" w:rsidRDefault="00570D4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年一般公共预算基本支出</w:t>
      </w:r>
      <w:r>
        <w:rPr>
          <w:rFonts w:ascii="Times New Roman" w:eastAsia="仿宋_GB2312" w:hAnsi="Times New Roman" w:cs="Times New Roman"/>
          <w:sz w:val="32"/>
          <w:szCs w:val="32"/>
        </w:rPr>
        <w:t>749.9</w:t>
      </w:r>
      <w:r>
        <w:rPr>
          <w:rFonts w:ascii="Times New Roman" w:eastAsia="仿宋_GB2312" w:hAnsi="Times New Roman" w:cs="Times New Roman"/>
          <w:sz w:val="32"/>
          <w:szCs w:val="32"/>
        </w:rPr>
        <w:t>万元，其中，人员经费</w:t>
      </w:r>
      <w:r>
        <w:rPr>
          <w:rFonts w:ascii="Times New Roman" w:eastAsia="仿宋_GB2312" w:hAnsi="Times New Roman" w:cs="Times New Roman"/>
          <w:sz w:val="32"/>
          <w:szCs w:val="32"/>
        </w:rPr>
        <w:t>708.3</w:t>
      </w:r>
      <w:r>
        <w:rPr>
          <w:rFonts w:ascii="Times New Roman" w:eastAsia="仿宋_GB2312" w:hAnsi="Times New Roman" w:cs="Times New Roman"/>
          <w:sz w:val="32"/>
          <w:szCs w:val="32"/>
        </w:rPr>
        <w:t>万元，公用经费</w:t>
      </w:r>
      <w:r>
        <w:rPr>
          <w:rFonts w:ascii="Times New Roman" w:eastAsia="仿宋_GB2312" w:hAnsi="Times New Roman" w:cs="Times New Roman"/>
          <w:sz w:val="32"/>
          <w:szCs w:val="32"/>
        </w:rPr>
        <w:t>41.6</w:t>
      </w:r>
      <w:r>
        <w:rPr>
          <w:rFonts w:ascii="Times New Roman" w:eastAsia="仿宋_GB2312" w:hAnsi="Times New Roman" w:cs="Times New Roman"/>
          <w:sz w:val="32"/>
          <w:szCs w:val="32"/>
        </w:rPr>
        <w:t>万元。</w:t>
      </w:r>
    </w:p>
    <w:p w:rsidR="006B35AF" w:rsidRDefault="00570D4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（一）人员经费</w:t>
      </w:r>
      <w:r>
        <w:rPr>
          <w:rFonts w:ascii="Times New Roman" w:eastAsia="仿宋_GB2312" w:hAnsi="Times New Roman" w:cs="Times New Roman"/>
          <w:sz w:val="32"/>
          <w:szCs w:val="32"/>
        </w:rPr>
        <w:t>708.3</w:t>
      </w:r>
      <w:r>
        <w:rPr>
          <w:rFonts w:ascii="Times New Roman" w:eastAsia="仿宋_GB2312" w:hAnsi="Times New Roman" w:cs="Times New Roman"/>
          <w:sz w:val="32"/>
          <w:szCs w:val="32"/>
        </w:rPr>
        <w:t>万元，主要包括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基本工资、津贴补贴、</w:t>
      </w:r>
      <w:r>
        <w:rPr>
          <w:rFonts w:ascii="Times New Roman" w:eastAsia="仿宋_GB2312" w:hAnsi="Times New Roman" w:cs="Times New Roman"/>
          <w:sz w:val="32"/>
          <w:szCs w:val="32"/>
        </w:rPr>
        <w:lastRenderedPageBreak/>
        <w:t>绩效工资、机关事业单位基本养老保险费、职工基本医疗保险缴费、其他社会保障缴费、住房公积金、医疗费、退休费、生活补助、医疗费补助、其他对个人和家庭的补助支出。</w:t>
      </w:r>
    </w:p>
    <w:p w:rsidR="006B35AF" w:rsidRDefault="00570D4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（二）公用经费</w:t>
      </w:r>
      <w:r>
        <w:rPr>
          <w:rFonts w:ascii="Times New Roman" w:eastAsia="仿宋_GB2312" w:hAnsi="Times New Roman" w:cs="Times New Roman"/>
          <w:sz w:val="32"/>
          <w:szCs w:val="32"/>
        </w:rPr>
        <w:t>41.6</w:t>
      </w:r>
      <w:r>
        <w:rPr>
          <w:rFonts w:ascii="Times New Roman" w:eastAsia="仿宋_GB2312" w:hAnsi="Times New Roman" w:cs="Times New Roman"/>
          <w:sz w:val="32"/>
          <w:szCs w:val="32"/>
        </w:rPr>
        <w:t>万元，主要包括：培训费、工会经费、福利费、其他商品和服务支出。</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七、关于</w:t>
      </w:r>
      <w:r>
        <w:rPr>
          <w:rFonts w:ascii="Times New Roman" w:eastAsia="黑体" w:hAnsi="Times New Roman" w:cs="Times New Roman"/>
          <w:sz w:val="32"/>
          <w:szCs w:val="32"/>
        </w:rPr>
        <w:t>2023</w:t>
      </w:r>
      <w:r>
        <w:rPr>
          <w:rFonts w:ascii="Times New Roman" w:eastAsia="黑体" w:hAnsi="Times New Roman" w:cs="Times New Roman"/>
          <w:sz w:val="32"/>
          <w:szCs w:val="32"/>
        </w:rPr>
        <w:t>年政府性基金预算支出表的说明</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年没有政府性基金预算拨款收入，也没有使用政府性基金预算拨款安排的支出。</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八、关于</w:t>
      </w:r>
      <w:r>
        <w:rPr>
          <w:rFonts w:ascii="Times New Roman" w:eastAsia="黑体" w:hAnsi="Times New Roman" w:cs="Times New Roman"/>
          <w:sz w:val="32"/>
          <w:szCs w:val="32"/>
        </w:rPr>
        <w:t>2023</w:t>
      </w:r>
      <w:r>
        <w:rPr>
          <w:rFonts w:ascii="Times New Roman" w:eastAsia="黑体" w:hAnsi="Times New Roman" w:cs="Times New Roman"/>
          <w:sz w:val="32"/>
          <w:szCs w:val="32"/>
        </w:rPr>
        <w:t>年国有资本经营预算支出表的说明</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年没有国有资本经营预算拨款收入，也没有使用国有资本经营预算拨款安排的支出。</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九、关于</w:t>
      </w:r>
      <w:r>
        <w:rPr>
          <w:rFonts w:ascii="Times New Roman" w:eastAsia="黑体" w:hAnsi="Times New Roman" w:cs="Times New Roman"/>
          <w:sz w:val="32"/>
          <w:szCs w:val="32"/>
        </w:rPr>
        <w:t>2023</w:t>
      </w:r>
      <w:r>
        <w:rPr>
          <w:rFonts w:ascii="Times New Roman" w:eastAsia="黑体" w:hAnsi="Times New Roman" w:cs="Times New Roman"/>
          <w:sz w:val="32"/>
          <w:szCs w:val="32"/>
        </w:rPr>
        <w:t>年项目支出表的说明</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年预算共安排项目支出</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42.7</w:t>
      </w:r>
      <w:r>
        <w:rPr>
          <w:rFonts w:ascii="Times New Roman" w:eastAsia="仿宋_GB2312" w:hAnsi="Times New Roman" w:cs="Times New Roman"/>
          <w:sz w:val="32"/>
          <w:szCs w:val="32"/>
        </w:rPr>
        <w:t>万元，比</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年预算增加</w:t>
      </w:r>
      <w:r>
        <w:rPr>
          <w:rFonts w:ascii="Times New Roman" w:eastAsia="仿宋_GB2312" w:hAnsi="Times New Roman" w:cs="Times New Roman"/>
          <w:sz w:val="32"/>
          <w:szCs w:val="32"/>
        </w:rPr>
        <w:t>9.2</w:t>
      </w:r>
      <w:r>
        <w:rPr>
          <w:rFonts w:ascii="Times New Roman" w:eastAsia="仿宋_GB2312" w:hAnsi="Times New Roman" w:cs="Times New Roman"/>
          <w:sz w:val="32"/>
          <w:szCs w:val="32"/>
        </w:rPr>
        <w:t>万元，增长</w:t>
      </w:r>
      <w:r>
        <w:rPr>
          <w:rFonts w:ascii="Times New Roman" w:eastAsia="仿宋_GB2312" w:hAnsi="Times New Roman" w:cs="Times New Roman"/>
          <w:sz w:val="32"/>
          <w:szCs w:val="32"/>
        </w:rPr>
        <w:t>6.9%</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增长原因主要是</w:t>
      </w:r>
      <w:r>
        <w:rPr>
          <w:rFonts w:ascii="Times New Roman" w:eastAsia="仿宋_GB2312" w:hAnsi="Times New Roman" w:cs="Times New Roman"/>
          <w:bCs/>
          <w:color w:val="000000" w:themeColor="text1"/>
          <w:sz w:val="32"/>
          <w:szCs w:val="32"/>
        </w:rPr>
        <w:t>中央财政提前下达资金列入年初预算</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sz w:val="32"/>
          <w:szCs w:val="32"/>
        </w:rPr>
        <w:t>主要包括：本年财政拨款安排</w:t>
      </w:r>
      <w:r>
        <w:rPr>
          <w:rFonts w:ascii="Times New Roman" w:eastAsia="仿宋_GB2312" w:hAnsi="Times New Roman" w:cs="Times New Roman"/>
          <w:sz w:val="32"/>
          <w:szCs w:val="32"/>
        </w:rPr>
        <w:t>128.0</w:t>
      </w:r>
      <w:r>
        <w:rPr>
          <w:rFonts w:ascii="Times New Roman" w:eastAsia="仿宋_GB2312" w:hAnsi="Times New Roman" w:cs="Times New Roman" w:hint="eastAsia"/>
          <w:sz w:val="32"/>
          <w:szCs w:val="32"/>
        </w:rPr>
        <w:t>万元（其中，一般公共预算拨款安排</w:t>
      </w:r>
      <w:r>
        <w:rPr>
          <w:rFonts w:ascii="Times New Roman" w:eastAsia="仿宋_GB2312" w:hAnsi="Times New Roman" w:cs="Times New Roman"/>
          <w:sz w:val="32"/>
          <w:szCs w:val="32"/>
        </w:rPr>
        <w:t>128.0</w:t>
      </w:r>
      <w:r>
        <w:rPr>
          <w:rFonts w:ascii="Times New Roman" w:eastAsia="仿宋_GB2312" w:hAnsi="Times New Roman" w:cs="Times New Roman" w:hint="eastAsia"/>
          <w:sz w:val="32"/>
          <w:szCs w:val="32"/>
        </w:rPr>
        <w:t>万元，政府性基金预算安排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万元，国有资本经营预算安排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万元），财政拨款上年结转安排</w:t>
      </w:r>
      <w:r>
        <w:rPr>
          <w:rFonts w:ascii="Times New Roman" w:eastAsia="仿宋_GB2312" w:hAnsi="Times New Roman" w:cs="Times New Roman"/>
          <w:sz w:val="32"/>
          <w:szCs w:val="32"/>
        </w:rPr>
        <w:t>14.7</w:t>
      </w:r>
      <w:r>
        <w:rPr>
          <w:rFonts w:ascii="Times New Roman" w:eastAsia="仿宋_GB2312" w:hAnsi="Times New Roman" w:cs="Times New Roman" w:hint="eastAsia"/>
          <w:sz w:val="32"/>
          <w:szCs w:val="32"/>
        </w:rPr>
        <w:t>万元（其中，一般公共预算拨款安排</w:t>
      </w:r>
      <w:r>
        <w:rPr>
          <w:rFonts w:ascii="Times New Roman" w:eastAsia="仿宋_GB2312" w:hAnsi="Times New Roman" w:cs="Times New Roman"/>
          <w:sz w:val="32"/>
          <w:szCs w:val="32"/>
        </w:rPr>
        <w:t>14.7</w:t>
      </w:r>
      <w:r>
        <w:rPr>
          <w:rFonts w:ascii="Times New Roman" w:eastAsia="仿宋_GB2312" w:hAnsi="Times New Roman" w:cs="Times New Roman" w:hint="eastAsia"/>
          <w:sz w:val="32"/>
          <w:szCs w:val="32"/>
        </w:rPr>
        <w:t>万元，政府性基金预算安排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万元，国有资本经营预算安排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万元）、财政专户管理资金安排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万元和单位资金安排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p w:rsidR="006B35AF" w:rsidRDefault="00570D47">
      <w:pPr>
        <w:pStyle w:val="a6"/>
        <w:widowControl w:val="0"/>
        <w:adjustRightInd w:val="0"/>
        <w:snapToGrid w:val="0"/>
        <w:spacing w:before="0" w:beforeAutospacing="0" w:after="0" w:afterAutospacing="0" w:line="600" w:lineRule="exact"/>
        <w:ind w:firstLineChars="200" w:firstLine="640"/>
        <w:jc w:val="both"/>
        <w:rPr>
          <w:rFonts w:ascii="Times New Roman" w:hAnsi="Times New Roman" w:cs="Times New Roman"/>
        </w:rPr>
      </w:pPr>
      <w:r>
        <w:rPr>
          <w:rFonts w:ascii="Times New Roman" w:eastAsia="黑体" w:hAnsi="Times New Roman" w:cs="Times New Roman"/>
          <w:sz w:val="32"/>
          <w:szCs w:val="32"/>
        </w:rPr>
        <w:t>十、关于</w:t>
      </w:r>
      <w:r>
        <w:rPr>
          <w:rFonts w:ascii="Times New Roman" w:eastAsia="黑体" w:hAnsi="Times New Roman" w:cs="Times New Roman"/>
          <w:sz w:val="32"/>
          <w:szCs w:val="32"/>
        </w:rPr>
        <w:t>2023</w:t>
      </w:r>
      <w:r>
        <w:rPr>
          <w:rFonts w:ascii="Times New Roman" w:eastAsia="黑体" w:hAnsi="Times New Roman" w:cs="Times New Roman"/>
          <w:sz w:val="32"/>
          <w:szCs w:val="32"/>
        </w:rPr>
        <w:t>年政府采购支出表的说明</w:t>
      </w:r>
      <w:r>
        <w:rPr>
          <w:rFonts w:ascii="Times New Roman" w:hAnsi="Times New Roman" w:cs="Times New Roman"/>
        </w:rPr>
        <w:tab/>
      </w:r>
    </w:p>
    <w:p w:rsidR="006B35AF" w:rsidRDefault="00570D47">
      <w:pPr>
        <w:pStyle w:val="a6"/>
        <w:widowControl w:val="0"/>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年没有使用一般公共</w:t>
      </w:r>
      <w:r>
        <w:rPr>
          <w:rFonts w:ascii="Times New Roman" w:eastAsia="仿宋_GB2312" w:hAnsi="Times New Roman" w:cs="Times New Roman"/>
          <w:sz w:val="32"/>
          <w:szCs w:val="32"/>
        </w:rPr>
        <w:t>预算拨款、政府性基金预算拨款、国有资本经营预算拨款、财政专户管理资金和单位资金安排的政府采购支出。</w:t>
      </w:r>
    </w:p>
    <w:p w:rsidR="006B35AF" w:rsidRDefault="00570D47">
      <w:pPr>
        <w:pStyle w:val="a6"/>
        <w:adjustRightInd w:val="0"/>
        <w:snapToGrid w:val="0"/>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十一、关于</w:t>
      </w:r>
      <w:r>
        <w:rPr>
          <w:rFonts w:ascii="Times New Roman" w:eastAsia="黑体" w:hAnsi="Times New Roman" w:cs="Times New Roman"/>
          <w:sz w:val="32"/>
          <w:szCs w:val="32"/>
        </w:rPr>
        <w:t>2023</w:t>
      </w:r>
      <w:r>
        <w:rPr>
          <w:rFonts w:ascii="Times New Roman" w:eastAsia="黑体" w:hAnsi="Times New Roman" w:cs="Times New Roman"/>
          <w:sz w:val="32"/>
          <w:szCs w:val="32"/>
        </w:rPr>
        <w:t>年政府购买服务支出表的说明</w:t>
      </w:r>
    </w:p>
    <w:p w:rsidR="006B35AF" w:rsidRDefault="00570D47">
      <w:pPr>
        <w:pStyle w:val="a6"/>
        <w:adjustRightInd w:val="0"/>
        <w:snapToGrid w:val="0"/>
        <w:spacing w:before="0" w:beforeAutospacing="0" w:after="0" w:afterAutospacing="0" w:line="600" w:lineRule="exact"/>
        <w:ind w:firstLineChars="200" w:firstLine="640"/>
        <w:jc w:val="both"/>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年没有安排政府购买服务支出。</w:t>
      </w:r>
    </w:p>
    <w:p w:rsidR="006B35AF" w:rsidRDefault="00570D47">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十二、其他重要事项情况说明</w:t>
      </w:r>
    </w:p>
    <w:p w:rsidR="006B35AF" w:rsidRDefault="00570D47" w:rsidP="00FA2640">
      <w:pPr>
        <w:adjustRightInd w:val="0"/>
        <w:snapToGri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（一）项目及绩效目标情况。</w:t>
      </w:r>
    </w:p>
    <w:p w:rsidR="006B35AF" w:rsidRDefault="00570D47">
      <w:pPr>
        <w:adjustRightInd w:val="0"/>
        <w:snapToGrid w:val="0"/>
        <w:spacing w:line="600" w:lineRule="exact"/>
        <w:ind w:firstLineChars="250" w:firstLine="803"/>
        <w:rPr>
          <w:rFonts w:ascii="Times New Roman" w:eastAsia="仿宋_GB2312" w:hAnsi="Times New Roman" w:cs="Times New Roman"/>
          <w:b/>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教学及实习实训专项经费</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项目。</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目概述。该项目旨在改善中等职业学校教学及实习实训条件，通过在教学、实习实训设施设备、以及师资队伍建设等方面资金支出，不断提升学校教学及实习实训软硬件，提高学校教学及实习实训水平，满足教育教学需求。</w:t>
      </w:r>
    </w:p>
    <w:p w:rsidR="006B35AF" w:rsidRDefault="00570D47" w:rsidP="00FA2640">
      <w:pPr>
        <w:spacing w:line="600" w:lineRule="exact"/>
        <w:ind w:firstLineChars="183" w:firstLine="586"/>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）立项依据。《职业技能提升行动方案（</w:t>
      </w:r>
      <w:r>
        <w:rPr>
          <w:rFonts w:ascii="Times New Roman" w:eastAsia="仿宋_GB2312" w:hAnsi="Times New Roman" w:cs="Times New Roman"/>
          <w:sz w:val="32"/>
          <w:szCs w:val="32"/>
        </w:rPr>
        <w:t>2019—2022</w:t>
      </w:r>
      <w:r>
        <w:rPr>
          <w:rFonts w:ascii="Times New Roman" w:eastAsia="仿宋_GB2312" w:hAnsi="Times New Roman" w:cs="Times New Roman"/>
          <w:sz w:val="32"/>
          <w:szCs w:val="32"/>
        </w:rPr>
        <w:t>年）》、《国家职业教育改革实施方案》、《安徽现代职业教育体系建设规划（</w:t>
      </w:r>
      <w:r>
        <w:rPr>
          <w:rFonts w:ascii="Times New Roman" w:eastAsia="仿宋_GB2312" w:hAnsi="Times New Roman" w:cs="Times New Roman"/>
          <w:sz w:val="32"/>
          <w:szCs w:val="32"/>
        </w:rPr>
        <w:t>2014—2020</w:t>
      </w:r>
      <w:r>
        <w:rPr>
          <w:rFonts w:ascii="Times New Roman" w:eastAsia="仿宋_GB2312" w:hAnsi="Times New Roman" w:cs="Times New Roman"/>
          <w:sz w:val="32"/>
          <w:szCs w:val="32"/>
        </w:rPr>
        <w:t>年）》和《关于推动现代职业教育高质量发展的实施意见》：继续实施中等职业教育基础能力建设项目，大力发展涉农职业教育，加大培养适应农业和农村发展需要的专业人才力度；创新人才培养模式，坚持产教融合，校企合作和育训结合；着力改善中等职业学校实训条件，提高办学水平。紧紧围绕中共安徽省委安徽省人民政府《关于坚持农业农村优先发展做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工作的实施意见》，大力发展面向乡村需求</w:t>
      </w:r>
      <w:r>
        <w:rPr>
          <w:rFonts w:ascii="Times New Roman" w:eastAsia="仿宋_GB2312" w:hAnsi="Times New Roman" w:cs="Times New Roman"/>
          <w:sz w:val="32"/>
          <w:szCs w:val="32"/>
        </w:rPr>
        <w:t>的职业教育，</w:t>
      </w:r>
      <w:r>
        <w:rPr>
          <w:rFonts w:ascii="Times New Roman" w:eastAsia="仿宋_GB2312" w:hAnsi="Times New Roman" w:cs="Times New Roman"/>
          <w:sz w:val="32"/>
          <w:szCs w:val="32"/>
        </w:rPr>
        <w:lastRenderedPageBreak/>
        <w:t>发挥农业职业学校人才培育优势，推动农业现代化提升工程建设，提升职业教育为民服务和为企业服务的能力。</w:t>
      </w:r>
    </w:p>
    <w:p w:rsidR="006B35AF" w:rsidRDefault="00570D47" w:rsidP="00FA2640">
      <w:pPr>
        <w:spacing w:line="600" w:lineRule="exact"/>
        <w:ind w:firstLineChars="183" w:firstLine="586"/>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）实施主体。安徽生物工程学校。</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）起止时间。</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月至</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color w:val="FF0000"/>
          <w:sz w:val="32"/>
          <w:szCs w:val="32"/>
        </w:rPr>
        <w:t xml:space="preserve"> </w:t>
      </w:r>
      <w:r>
        <w:rPr>
          <w:rFonts w:ascii="Times New Roman" w:eastAsia="仿宋_GB2312" w:hAnsi="Times New Roman" w:cs="Times New Roman"/>
          <w:color w:val="FF0000"/>
          <w:sz w:val="32"/>
          <w:szCs w:val="32"/>
        </w:rPr>
        <w:t xml:space="preserve">   </w:t>
      </w:r>
    </w:p>
    <w:p w:rsidR="006B35AF" w:rsidRDefault="00570D47">
      <w:pPr>
        <w:spacing w:line="600" w:lineRule="exact"/>
        <w:ind w:firstLine="642"/>
        <w:rPr>
          <w:rFonts w:ascii="Times New Roman" w:eastAsia="仿宋_GB2312" w:hAnsi="Times New Roman" w:cs="Times New Roman"/>
          <w:bCs/>
          <w:sz w:val="30"/>
          <w:szCs w:val="30"/>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）项目内容。一是建设学校基础性的实验实训室建设。二是加强学生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第二课堂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满足广大师生的精神需求，不断提高学生综合素质，做好教学和科研服务的助手。通过实验实训室等基地建设，落实学生顶岗实习制度，提高学生创业创新技能，拓展专业教师技能培训途径，从而提高中职教育教学质量和技能水平。三是维持学校教学及实训工作运转的日常支出。</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）年度预算安排</w:t>
      </w:r>
      <w:r>
        <w:rPr>
          <w:rFonts w:ascii="Times New Roman" w:eastAsia="仿宋_GB2312" w:hAnsi="Times New Roman" w:cs="Times New Roman"/>
          <w:sz w:val="32"/>
          <w:szCs w:val="32"/>
        </w:rPr>
        <w:t>46.9</w:t>
      </w:r>
      <w:r>
        <w:rPr>
          <w:rFonts w:ascii="Times New Roman" w:eastAsia="仿宋_GB2312" w:hAnsi="Times New Roman" w:cs="Times New Roman"/>
          <w:sz w:val="32"/>
          <w:szCs w:val="32"/>
        </w:rPr>
        <w:t>万元。</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）绩效目标。</w:t>
      </w:r>
    </w:p>
    <w:tbl>
      <w:tblPr>
        <w:tblW w:w="9072" w:type="dxa"/>
        <w:jc w:val="center"/>
        <w:tblLook w:val="04A0"/>
      </w:tblPr>
      <w:tblGrid>
        <w:gridCol w:w="556"/>
        <w:gridCol w:w="551"/>
        <w:gridCol w:w="1122"/>
        <w:gridCol w:w="2138"/>
        <w:gridCol w:w="886"/>
        <w:gridCol w:w="779"/>
        <w:gridCol w:w="988"/>
        <w:gridCol w:w="1129"/>
        <w:gridCol w:w="923"/>
      </w:tblGrid>
      <w:tr w:rsidR="006B35AF">
        <w:trPr>
          <w:trHeight w:val="495"/>
          <w:tblHeader/>
          <w:jc w:val="center"/>
        </w:trPr>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项目名称</w:t>
            </w:r>
          </w:p>
        </w:tc>
        <w:tc>
          <w:tcPr>
            <w:tcW w:w="6843" w:type="dxa"/>
            <w:gridSpan w:val="6"/>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sz w:val="20"/>
                <w:szCs w:val="20"/>
              </w:rPr>
              <w:t>教学及实习实训专项经费</w:t>
            </w:r>
          </w:p>
        </w:tc>
      </w:tr>
      <w:tr w:rsidR="006B35AF">
        <w:trPr>
          <w:trHeight w:val="495"/>
          <w:tblHeader/>
          <w:jc w:val="center"/>
        </w:trPr>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实施单位</w:t>
            </w:r>
          </w:p>
        </w:tc>
        <w:tc>
          <w:tcPr>
            <w:tcW w:w="6843" w:type="dxa"/>
            <w:gridSpan w:val="6"/>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安徽生物工程学校</w:t>
            </w:r>
          </w:p>
        </w:tc>
      </w:tr>
      <w:tr w:rsidR="006B35AF">
        <w:trPr>
          <w:trHeight w:val="495"/>
          <w:tblHeader/>
          <w:jc w:val="center"/>
        </w:trPr>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项目属性</w:t>
            </w:r>
          </w:p>
        </w:tc>
        <w:tc>
          <w:tcPr>
            <w:tcW w:w="3024"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sz w:val="20"/>
                <w:szCs w:val="20"/>
              </w:rPr>
              <w:t>日常运转类</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项目期</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三</w:t>
            </w:r>
            <w:r>
              <w:rPr>
                <w:rFonts w:asciiTheme="minorEastAsia" w:hAnsiTheme="minorEastAsia" w:cs="Times New Roman"/>
                <w:color w:val="000000"/>
                <w:kern w:val="0"/>
                <w:sz w:val="20"/>
                <w:szCs w:val="20"/>
              </w:rPr>
              <w:t>年</w:t>
            </w:r>
          </w:p>
        </w:tc>
      </w:tr>
      <w:tr w:rsidR="006B35AF">
        <w:trPr>
          <w:trHeight w:val="495"/>
          <w:tblHeader/>
          <w:jc w:val="center"/>
        </w:trPr>
        <w:tc>
          <w:tcPr>
            <w:tcW w:w="22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项目资金（万元）</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中期资金总额：</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46.9</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年度资金总额：</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46.9</w:t>
            </w:r>
          </w:p>
        </w:tc>
      </w:tr>
      <w:tr w:rsidR="006B35AF">
        <w:trPr>
          <w:trHeight w:val="495"/>
          <w:tblHeader/>
          <w:jc w:val="center"/>
        </w:trPr>
        <w:tc>
          <w:tcPr>
            <w:tcW w:w="2229" w:type="dxa"/>
            <w:gridSpan w:val="3"/>
            <w:vMerge/>
            <w:tcBorders>
              <w:top w:val="single" w:sz="4" w:space="0" w:color="auto"/>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其中：财政拨款</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46.9</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其中：财政拨款</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46.9</w:t>
            </w:r>
          </w:p>
        </w:tc>
      </w:tr>
      <w:tr w:rsidR="006B35AF">
        <w:trPr>
          <w:trHeight w:val="495"/>
          <w:tblHeader/>
          <w:jc w:val="center"/>
        </w:trPr>
        <w:tc>
          <w:tcPr>
            <w:tcW w:w="2229" w:type="dxa"/>
            <w:gridSpan w:val="3"/>
            <w:vMerge/>
            <w:tcBorders>
              <w:top w:val="single" w:sz="4" w:space="0" w:color="auto"/>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righ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其他资金</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　</w:t>
            </w:r>
          </w:p>
        </w:tc>
        <w:tc>
          <w:tcPr>
            <w:tcW w:w="1767"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righ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其他资金</w:t>
            </w:r>
          </w:p>
        </w:tc>
        <w:tc>
          <w:tcPr>
            <w:tcW w:w="2052"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 xml:space="preserve">　</w:t>
            </w:r>
          </w:p>
        </w:tc>
      </w:tr>
      <w:tr w:rsidR="006B35AF">
        <w:trPr>
          <w:trHeight w:val="495"/>
          <w:tblHeader/>
          <w:jc w:val="center"/>
        </w:trPr>
        <w:tc>
          <w:tcPr>
            <w:tcW w:w="556" w:type="dxa"/>
            <w:vMerge w:val="restart"/>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总体目标</w:t>
            </w:r>
          </w:p>
        </w:tc>
        <w:tc>
          <w:tcPr>
            <w:tcW w:w="4697" w:type="dxa"/>
            <w:gridSpan w:val="4"/>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中期目标（</w:t>
            </w:r>
            <w:r>
              <w:rPr>
                <w:rFonts w:asciiTheme="minorEastAsia" w:hAnsiTheme="minorEastAsia" w:cs="Times New Roman" w:hint="eastAsia"/>
                <w:color w:val="000000"/>
                <w:kern w:val="0"/>
                <w:sz w:val="20"/>
                <w:szCs w:val="20"/>
              </w:rPr>
              <w:t>2023</w:t>
            </w:r>
            <w:r>
              <w:rPr>
                <w:rFonts w:asciiTheme="minorEastAsia" w:hAnsiTheme="minorEastAsia" w:cs="Times New Roman" w:hint="eastAsia"/>
                <w:color w:val="000000"/>
                <w:kern w:val="0"/>
                <w:sz w:val="20"/>
                <w:szCs w:val="20"/>
              </w:rPr>
              <w:t>年－</w:t>
            </w:r>
            <w:r>
              <w:rPr>
                <w:rFonts w:asciiTheme="minorEastAsia" w:hAnsiTheme="minorEastAsia" w:cs="Times New Roman" w:hint="eastAsia"/>
                <w:color w:val="000000"/>
                <w:kern w:val="0"/>
                <w:sz w:val="20"/>
                <w:szCs w:val="20"/>
              </w:rPr>
              <w:t>2025</w:t>
            </w:r>
            <w:r>
              <w:rPr>
                <w:rFonts w:asciiTheme="minorEastAsia" w:hAnsiTheme="minorEastAsia" w:cs="Times New Roman" w:hint="eastAsia"/>
                <w:color w:val="000000"/>
                <w:kern w:val="0"/>
                <w:sz w:val="20"/>
                <w:szCs w:val="20"/>
              </w:rPr>
              <w:t>年）</w:t>
            </w:r>
          </w:p>
        </w:tc>
        <w:tc>
          <w:tcPr>
            <w:tcW w:w="3819" w:type="dxa"/>
            <w:gridSpan w:val="4"/>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年度目标</w:t>
            </w:r>
          </w:p>
        </w:tc>
      </w:tr>
      <w:tr w:rsidR="006B35AF">
        <w:trPr>
          <w:trHeight w:val="495"/>
          <w:tblHeader/>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4697" w:type="dxa"/>
            <w:gridSpan w:val="4"/>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sz w:val="20"/>
                <w:szCs w:val="20"/>
              </w:rPr>
              <w:t>通过本项目的实施，满足学生“第二课堂”及实习实训需求，教师参加培训人次达到</w:t>
            </w:r>
            <w:r>
              <w:rPr>
                <w:rFonts w:asciiTheme="minorEastAsia" w:hAnsiTheme="minorEastAsia" w:cs="Times New Roman" w:hint="eastAsia"/>
                <w:sz w:val="20"/>
                <w:szCs w:val="20"/>
              </w:rPr>
              <w:t>5</w:t>
            </w:r>
            <w:r>
              <w:rPr>
                <w:rFonts w:asciiTheme="minorEastAsia" w:hAnsiTheme="minorEastAsia" w:cs="Times New Roman" w:hint="eastAsia"/>
                <w:sz w:val="20"/>
                <w:szCs w:val="20"/>
              </w:rPr>
              <w:t>人次，学生参加比赛、观摩赛事达到</w:t>
            </w:r>
            <w:r>
              <w:rPr>
                <w:rFonts w:asciiTheme="minorEastAsia" w:hAnsiTheme="minorEastAsia" w:cs="Times New Roman" w:hint="eastAsia"/>
                <w:sz w:val="20"/>
                <w:szCs w:val="20"/>
              </w:rPr>
              <w:t>30</w:t>
            </w:r>
            <w:r>
              <w:rPr>
                <w:rFonts w:asciiTheme="minorEastAsia" w:hAnsiTheme="minorEastAsia" w:cs="Times New Roman" w:hint="eastAsia"/>
                <w:sz w:val="20"/>
                <w:szCs w:val="20"/>
              </w:rPr>
              <w:t>人次，聘请外聘教师授课达</w:t>
            </w:r>
            <w:r>
              <w:rPr>
                <w:rFonts w:asciiTheme="minorEastAsia" w:hAnsiTheme="minorEastAsia" w:cs="Times New Roman" w:hint="eastAsia"/>
                <w:sz w:val="20"/>
                <w:szCs w:val="20"/>
              </w:rPr>
              <w:t>200</w:t>
            </w:r>
            <w:r>
              <w:rPr>
                <w:rFonts w:asciiTheme="minorEastAsia" w:hAnsiTheme="minorEastAsia" w:cs="Times New Roman" w:hint="eastAsia"/>
                <w:sz w:val="20"/>
                <w:szCs w:val="20"/>
              </w:rPr>
              <w:t>课时，聘请专家讲座</w:t>
            </w:r>
            <w:r>
              <w:rPr>
                <w:rFonts w:asciiTheme="minorEastAsia" w:hAnsiTheme="minorEastAsia" w:cs="Times New Roman" w:hint="eastAsia"/>
                <w:sz w:val="20"/>
                <w:szCs w:val="20"/>
              </w:rPr>
              <w:t>2</w:t>
            </w:r>
            <w:r>
              <w:rPr>
                <w:rFonts w:asciiTheme="minorEastAsia" w:hAnsiTheme="minorEastAsia" w:cs="Times New Roman" w:hint="eastAsia"/>
                <w:sz w:val="20"/>
                <w:szCs w:val="20"/>
              </w:rPr>
              <w:t>场次，按照资金执行进度，完成本年度实验耗材及器皿的采购，提高我校教师教学和技能操作水平，提升培养技能型学生合格率，维持上半年学校教学及实训工作日常运转。</w:t>
            </w:r>
          </w:p>
        </w:tc>
        <w:tc>
          <w:tcPr>
            <w:tcW w:w="3819" w:type="dxa"/>
            <w:gridSpan w:val="4"/>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sz w:val="20"/>
                <w:szCs w:val="20"/>
              </w:rPr>
              <w:t>通过本项目的实施，满足学生“第二课堂”及实习实训需求，教师参加培训人次达到</w:t>
            </w:r>
            <w:r>
              <w:rPr>
                <w:rFonts w:asciiTheme="minorEastAsia" w:hAnsiTheme="minorEastAsia" w:cs="Times New Roman" w:hint="eastAsia"/>
                <w:sz w:val="20"/>
                <w:szCs w:val="20"/>
              </w:rPr>
              <w:t>15</w:t>
            </w:r>
            <w:r>
              <w:rPr>
                <w:rFonts w:asciiTheme="minorEastAsia" w:hAnsiTheme="minorEastAsia" w:cs="Times New Roman" w:hint="eastAsia"/>
                <w:sz w:val="20"/>
                <w:szCs w:val="20"/>
              </w:rPr>
              <w:t>人次，学生参加比赛、观摩赛事达到</w:t>
            </w:r>
            <w:r>
              <w:rPr>
                <w:rFonts w:asciiTheme="minorEastAsia" w:hAnsiTheme="minorEastAsia" w:cs="Times New Roman" w:hint="eastAsia"/>
                <w:sz w:val="20"/>
                <w:szCs w:val="20"/>
              </w:rPr>
              <w:t>30</w:t>
            </w:r>
            <w:r>
              <w:rPr>
                <w:rFonts w:asciiTheme="minorEastAsia" w:hAnsiTheme="minorEastAsia" w:cs="Times New Roman" w:hint="eastAsia"/>
                <w:sz w:val="20"/>
                <w:szCs w:val="20"/>
              </w:rPr>
              <w:t>人次，聘请外聘教师授课达</w:t>
            </w:r>
            <w:r>
              <w:rPr>
                <w:rFonts w:asciiTheme="minorEastAsia" w:hAnsiTheme="minorEastAsia" w:cs="Times New Roman" w:hint="eastAsia"/>
                <w:sz w:val="20"/>
                <w:szCs w:val="20"/>
              </w:rPr>
              <w:t>420</w:t>
            </w:r>
            <w:r>
              <w:rPr>
                <w:rFonts w:asciiTheme="minorEastAsia" w:hAnsiTheme="minorEastAsia" w:cs="Times New Roman" w:hint="eastAsia"/>
                <w:sz w:val="20"/>
                <w:szCs w:val="20"/>
              </w:rPr>
              <w:t>课时，聘请专家讲座</w:t>
            </w:r>
            <w:r>
              <w:rPr>
                <w:rFonts w:asciiTheme="minorEastAsia" w:hAnsiTheme="minorEastAsia" w:cs="Times New Roman" w:hint="eastAsia"/>
                <w:sz w:val="20"/>
                <w:szCs w:val="20"/>
              </w:rPr>
              <w:t>4</w:t>
            </w:r>
            <w:r>
              <w:rPr>
                <w:rFonts w:asciiTheme="minorEastAsia" w:hAnsiTheme="minorEastAsia" w:cs="Times New Roman" w:hint="eastAsia"/>
                <w:sz w:val="20"/>
                <w:szCs w:val="20"/>
              </w:rPr>
              <w:t>场次，按照资金执行进度，完成本年</w:t>
            </w:r>
            <w:r>
              <w:rPr>
                <w:rFonts w:asciiTheme="minorEastAsia" w:hAnsiTheme="minorEastAsia" w:cs="Times New Roman" w:hint="eastAsia"/>
                <w:sz w:val="20"/>
                <w:szCs w:val="20"/>
              </w:rPr>
              <w:t>度实验耗材及器皿的采购，提高我校教师教学和技能操作水平，提升培养技能型学生合格率，维持上半年学校教学及实训工作日常运转。</w:t>
            </w:r>
          </w:p>
        </w:tc>
      </w:tr>
      <w:tr w:rsidR="006B35AF">
        <w:trPr>
          <w:trHeight w:val="495"/>
          <w:jc w:val="center"/>
        </w:trPr>
        <w:tc>
          <w:tcPr>
            <w:tcW w:w="556" w:type="dxa"/>
            <w:vMerge w:val="restart"/>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lastRenderedPageBreak/>
              <w:t>绩效指标</w:t>
            </w:r>
          </w:p>
        </w:tc>
        <w:tc>
          <w:tcPr>
            <w:tcW w:w="551"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一级指标</w:t>
            </w: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二级指标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三级指标</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指标值</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二级指标</w:t>
            </w:r>
          </w:p>
        </w:tc>
        <w:tc>
          <w:tcPr>
            <w:tcW w:w="2117" w:type="dxa"/>
            <w:gridSpan w:val="2"/>
            <w:tcBorders>
              <w:top w:val="single" w:sz="4" w:space="0" w:color="auto"/>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三级指标</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指标值</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551" w:type="dxa"/>
            <w:vMerge w:val="restart"/>
            <w:tcBorders>
              <w:top w:val="nil"/>
              <w:left w:val="nil"/>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成本指标</w:t>
            </w: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经济成本指标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：实习实训日常公用支出数（万元）</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25</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经济成本指标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：实习实训日常公用支出数（万元）</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25</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551" w:type="dxa"/>
            <w:vMerge/>
            <w:tcBorders>
              <w:left w:val="nil"/>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社会成本指标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：技能型学生培养成本（</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较上年增加</w:t>
            </w:r>
            <w:r>
              <w:rPr>
                <w:rFonts w:asciiTheme="minorEastAsia" w:hAnsiTheme="minorEastAsia" w:cs="Times New Roman" w:hint="eastAsia"/>
                <w:color w:val="000000"/>
                <w:kern w:val="0"/>
                <w:sz w:val="20"/>
                <w:szCs w:val="20"/>
              </w:rPr>
              <w:t>5</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社会成本指标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：技能型学生培养成本（</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较上年增加</w:t>
            </w:r>
            <w:r>
              <w:rPr>
                <w:rFonts w:asciiTheme="minorEastAsia" w:hAnsiTheme="minorEastAsia" w:cs="Times New Roman" w:hint="eastAsia"/>
                <w:color w:val="000000"/>
                <w:kern w:val="0"/>
                <w:sz w:val="20"/>
                <w:szCs w:val="20"/>
              </w:rPr>
              <w:t>5</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551"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生态环境成本指标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：实习实训设备及实验耗材使用率（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较上年提升</w:t>
            </w:r>
            <w:r>
              <w:rPr>
                <w:rFonts w:asciiTheme="minorEastAsia" w:hAnsiTheme="minorEastAsia" w:cs="Times New Roman" w:hint="eastAsia"/>
                <w:color w:val="000000"/>
                <w:kern w:val="0"/>
                <w:sz w:val="20"/>
                <w:szCs w:val="20"/>
              </w:rPr>
              <w:t>4</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生态环境成本指标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：实习实训设备及实验耗材使用率（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较上年提升</w:t>
            </w:r>
            <w:r>
              <w:rPr>
                <w:rFonts w:asciiTheme="minorEastAsia" w:hAnsiTheme="minorEastAsia" w:cs="Times New Roman" w:hint="eastAsia"/>
                <w:color w:val="000000"/>
                <w:kern w:val="0"/>
                <w:sz w:val="20"/>
                <w:szCs w:val="20"/>
              </w:rPr>
              <w:t>4</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产出指标</w:t>
            </w:r>
          </w:p>
        </w:tc>
        <w:tc>
          <w:tcPr>
            <w:tcW w:w="1122" w:type="dxa"/>
            <w:vMerge w:val="restart"/>
            <w:tcBorders>
              <w:top w:val="nil"/>
              <w:left w:val="nil"/>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数量指标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：参加培训的专业教师（人次）</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 xml:space="preserve">15 </w:t>
            </w:r>
          </w:p>
        </w:tc>
        <w:tc>
          <w:tcPr>
            <w:tcW w:w="779" w:type="dxa"/>
            <w:vMerge w:val="restart"/>
            <w:tcBorders>
              <w:top w:val="nil"/>
              <w:left w:val="nil"/>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数量指标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：参加培训的专业教师（人次）</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 xml:space="preserve">15 </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vMerge/>
            <w:tcBorders>
              <w:left w:val="nil"/>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：邀请专家讲座（场次）</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4</w:t>
            </w:r>
          </w:p>
        </w:tc>
        <w:tc>
          <w:tcPr>
            <w:tcW w:w="779" w:type="dxa"/>
            <w:vMerge/>
            <w:tcBorders>
              <w:left w:val="nil"/>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：邀请专家讲座（场次）</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4</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3</w:t>
            </w:r>
            <w:r>
              <w:rPr>
                <w:rFonts w:asciiTheme="minorEastAsia" w:hAnsiTheme="minorEastAsia" w:cs="Times New Roman" w:hint="eastAsia"/>
                <w:snapToGrid w:val="0"/>
                <w:sz w:val="20"/>
                <w:szCs w:val="20"/>
              </w:rPr>
              <w:t>：聘请校外教师授课（课时）</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420</w:t>
            </w:r>
          </w:p>
        </w:tc>
        <w:tc>
          <w:tcPr>
            <w:tcW w:w="779"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3</w:t>
            </w:r>
            <w:r>
              <w:rPr>
                <w:rFonts w:asciiTheme="minorEastAsia" w:hAnsiTheme="minorEastAsia" w:cs="Times New Roman" w:hint="eastAsia"/>
                <w:snapToGrid w:val="0"/>
                <w:sz w:val="20"/>
                <w:szCs w:val="20"/>
              </w:rPr>
              <w:t>：聘请校外教师授课（课时）</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snapToGrid w:val="0"/>
                <w:sz w:val="20"/>
                <w:szCs w:val="20"/>
              </w:rPr>
              <w:t>420</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vMerge w:val="restart"/>
            <w:tcBorders>
              <w:top w:val="nil"/>
              <w:left w:val="nil"/>
              <w:right w:val="single" w:sz="4" w:space="0" w:color="auto"/>
            </w:tcBorders>
            <w:shd w:val="clear" w:color="auto" w:fill="auto"/>
            <w:vAlign w:val="center"/>
          </w:tcPr>
          <w:p w:rsidR="006B35AF" w:rsidRDefault="00570D47">
            <w:pPr>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质量指标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：培训合格率（</w:t>
            </w: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90</w:t>
            </w:r>
          </w:p>
        </w:tc>
        <w:tc>
          <w:tcPr>
            <w:tcW w:w="779" w:type="dxa"/>
            <w:vMerge w:val="restart"/>
            <w:tcBorders>
              <w:top w:val="nil"/>
              <w:left w:val="nil"/>
              <w:right w:val="single" w:sz="4" w:space="0" w:color="auto"/>
            </w:tcBorders>
            <w:shd w:val="clear" w:color="auto" w:fill="auto"/>
            <w:vAlign w:val="center"/>
          </w:tcPr>
          <w:p w:rsidR="006B35AF" w:rsidRDefault="00570D47">
            <w:pPr>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质量指标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：培训合格率（</w:t>
            </w: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90</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vMerge/>
            <w:tcBorders>
              <w:left w:val="nil"/>
              <w:right w:val="single" w:sz="4" w:space="0" w:color="auto"/>
            </w:tcBorders>
            <w:shd w:val="clear" w:color="auto" w:fill="auto"/>
            <w:vAlign w:val="center"/>
          </w:tcPr>
          <w:p w:rsidR="006B35AF" w:rsidRDefault="006B35AF">
            <w:pPr>
              <w:jc w:val="center"/>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：教学水平</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效果明显</w:t>
            </w:r>
          </w:p>
        </w:tc>
        <w:tc>
          <w:tcPr>
            <w:tcW w:w="779" w:type="dxa"/>
            <w:vMerge/>
            <w:tcBorders>
              <w:left w:val="nil"/>
              <w:right w:val="single" w:sz="4" w:space="0" w:color="auto"/>
            </w:tcBorders>
            <w:shd w:val="clear" w:color="auto" w:fill="auto"/>
            <w:vAlign w:val="center"/>
          </w:tcPr>
          <w:p w:rsidR="006B35AF" w:rsidRDefault="006B35AF">
            <w:pPr>
              <w:jc w:val="center"/>
              <w:rPr>
                <w:rFonts w:asciiTheme="minorEastAsia" w:hAnsiTheme="minorEastAsia" w:cs="Times New Roman"/>
                <w:color w:val="000000"/>
                <w:kern w:val="0"/>
                <w:sz w:val="20"/>
                <w:szCs w:val="20"/>
              </w:rPr>
            </w:pP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2</w:t>
            </w:r>
            <w:r>
              <w:rPr>
                <w:rFonts w:asciiTheme="minorEastAsia" w:hAnsiTheme="minorEastAsia" w:cs="Times New Roman" w:hint="eastAsia"/>
                <w:snapToGrid w:val="0"/>
                <w:sz w:val="20"/>
                <w:szCs w:val="20"/>
              </w:rPr>
              <w:t>：教学水平</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效果明显</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3</w:t>
            </w:r>
            <w:r>
              <w:rPr>
                <w:rFonts w:asciiTheme="minorEastAsia" w:hAnsiTheme="minorEastAsia" w:cs="Times New Roman" w:hint="eastAsia"/>
                <w:snapToGrid w:val="0"/>
                <w:sz w:val="20"/>
                <w:szCs w:val="20"/>
              </w:rPr>
              <w:t>：弥补师资力量不足</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效果明显</w:t>
            </w:r>
          </w:p>
        </w:tc>
        <w:tc>
          <w:tcPr>
            <w:tcW w:w="779"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3</w:t>
            </w:r>
            <w:r>
              <w:rPr>
                <w:rFonts w:asciiTheme="minorEastAsia" w:hAnsiTheme="minorEastAsia" w:cs="Times New Roman" w:hint="eastAsia"/>
                <w:snapToGrid w:val="0"/>
                <w:sz w:val="20"/>
                <w:szCs w:val="20"/>
              </w:rPr>
              <w:t>：弥补师资力量不足</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效果明显</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时效指标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：预算执行进度（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100</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时效指标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：预算执行进度（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100</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效益指标</w:t>
            </w: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经济效益指标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：培养技能型学生合格率（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85</w:t>
            </w:r>
            <w:r>
              <w:rPr>
                <w:rFonts w:asciiTheme="minorEastAsia" w:hAnsiTheme="minorEastAsia" w:cs="Times New Roman"/>
                <w:color w:val="000000"/>
                <w:kern w:val="0"/>
                <w:sz w:val="20"/>
                <w:szCs w:val="20"/>
              </w:rPr>
              <w:t xml:space="preserve">　</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经济效益指标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：培养技能型学生合格率（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85</w:t>
            </w:r>
            <w:r>
              <w:rPr>
                <w:rFonts w:asciiTheme="minorEastAsia" w:hAnsiTheme="minorEastAsia" w:cs="Times New Roman"/>
                <w:color w:val="000000"/>
                <w:kern w:val="0"/>
                <w:sz w:val="20"/>
                <w:szCs w:val="20"/>
              </w:rPr>
              <w:t xml:space="preserve">　</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社会效益指标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：学生就业率提升（</w:t>
            </w: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较上年增加</w:t>
            </w:r>
            <w:r>
              <w:rPr>
                <w:rFonts w:asciiTheme="minorEastAsia" w:hAnsiTheme="minorEastAsia" w:cs="Times New Roman" w:hint="eastAsia"/>
                <w:snapToGrid w:val="0"/>
                <w:sz w:val="20"/>
                <w:szCs w:val="20"/>
              </w:rPr>
              <w:t>2</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社会效益指标</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指标</w:t>
            </w:r>
            <w:r>
              <w:rPr>
                <w:rFonts w:asciiTheme="minorEastAsia" w:hAnsiTheme="minorEastAsia" w:cs="Times New Roman" w:hint="eastAsia"/>
                <w:snapToGrid w:val="0"/>
                <w:sz w:val="20"/>
                <w:szCs w:val="20"/>
              </w:rPr>
              <w:t>1</w:t>
            </w:r>
            <w:r>
              <w:rPr>
                <w:rFonts w:asciiTheme="minorEastAsia" w:hAnsiTheme="minorEastAsia" w:cs="Times New Roman" w:hint="eastAsia"/>
                <w:snapToGrid w:val="0"/>
                <w:sz w:val="20"/>
                <w:szCs w:val="20"/>
              </w:rPr>
              <w:t>：学生就业率提升（</w:t>
            </w:r>
            <w:r>
              <w:rPr>
                <w:rFonts w:asciiTheme="minorEastAsia" w:hAnsiTheme="minorEastAsia" w:cs="Times New Roman" w:hint="eastAsia"/>
                <w:snapToGrid w:val="0"/>
                <w:sz w:val="20"/>
                <w:szCs w:val="20"/>
              </w:rPr>
              <w:t>%</w:t>
            </w:r>
            <w:r>
              <w:rPr>
                <w:rFonts w:asciiTheme="minorEastAsia" w:hAnsiTheme="minorEastAsia" w:cs="Times New Roman" w:hint="eastAsia"/>
                <w:snapToGrid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spacing w:line="240" w:lineRule="exact"/>
              <w:jc w:val="center"/>
              <w:rPr>
                <w:rFonts w:asciiTheme="minorEastAsia" w:hAnsiTheme="minorEastAsia" w:cs="Times New Roman"/>
                <w:snapToGrid w:val="0"/>
                <w:sz w:val="20"/>
                <w:szCs w:val="20"/>
              </w:rPr>
            </w:pPr>
            <w:r>
              <w:rPr>
                <w:rFonts w:asciiTheme="minorEastAsia" w:hAnsiTheme="minorEastAsia" w:cs="Times New Roman" w:hint="eastAsia"/>
                <w:snapToGrid w:val="0"/>
                <w:sz w:val="20"/>
                <w:szCs w:val="20"/>
              </w:rPr>
              <w:t>较上年增加</w:t>
            </w:r>
            <w:r>
              <w:rPr>
                <w:rFonts w:asciiTheme="minorEastAsia" w:hAnsiTheme="minorEastAsia" w:cs="Times New Roman" w:hint="eastAsia"/>
                <w:snapToGrid w:val="0"/>
                <w:sz w:val="20"/>
                <w:szCs w:val="20"/>
              </w:rPr>
              <w:t>2</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1122"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生态效益指标</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：创建文明单位水电能源节约率（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较上年增加</w:t>
            </w:r>
            <w:r>
              <w:rPr>
                <w:rFonts w:asciiTheme="minorEastAsia" w:hAnsiTheme="minorEastAsia" w:cs="Times New Roman" w:hint="eastAsia"/>
                <w:color w:val="000000"/>
                <w:kern w:val="0"/>
                <w:sz w:val="20"/>
                <w:szCs w:val="20"/>
              </w:rPr>
              <w:t>3</w:t>
            </w:r>
            <w:r>
              <w:rPr>
                <w:rFonts w:asciiTheme="minorEastAsia" w:hAnsiTheme="minorEastAsia" w:cs="Times New Roman"/>
                <w:color w:val="000000"/>
                <w:kern w:val="0"/>
                <w:sz w:val="20"/>
                <w:szCs w:val="20"/>
              </w:rPr>
              <w:t xml:space="preserve">　</w:t>
            </w:r>
          </w:p>
        </w:tc>
        <w:tc>
          <w:tcPr>
            <w:tcW w:w="779"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生态效益</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：创建文明单位水电能源节约率（</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较上年增加</w:t>
            </w:r>
            <w:r>
              <w:rPr>
                <w:rFonts w:asciiTheme="minorEastAsia" w:hAnsiTheme="minorEastAsia" w:cs="Times New Roman" w:hint="eastAsia"/>
                <w:color w:val="000000"/>
                <w:kern w:val="0"/>
                <w:sz w:val="20"/>
                <w:szCs w:val="20"/>
              </w:rPr>
              <w:t>3</w:t>
            </w:r>
            <w:r>
              <w:rPr>
                <w:rFonts w:asciiTheme="minorEastAsia" w:hAnsiTheme="minorEastAsia" w:cs="Times New Roman"/>
                <w:color w:val="000000"/>
                <w:kern w:val="0"/>
                <w:sz w:val="20"/>
                <w:szCs w:val="20"/>
              </w:rPr>
              <w:t xml:space="preserve">　</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val="restart"/>
            <w:tcBorders>
              <w:top w:val="nil"/>
              <w:left w:val="nil"/>
              <w:right w:val="single" w:sz="4" w:space="0" w:color="auto"/>
            </w:tcBorders>
            <w:shd w:val="clear" w:color="auto" w:fill="auto"/>
            <w:vAlign w:val="center"/>
          </w:tcPr>
          <w:p w:rsidR="006B35AF" w:rsidRDefault="00570D47">
            <w:pPr>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满意度指标</w:t>
            </w:r>
          </w:p>
        </w:tc>
        <w:tc>
          <w:tcPr>
            <w:tcW w:w="1122" w:type="dxa"/>
            <w:vMerge w:val="restart"/>
            <w:tcBorders>
              <w:top w:val="nil"/>
              <w:left w:val="nil"/>
              <w:right w:val="single" w:sz="4" w:space="0" w:color="auto"/>
            </w:tcBorders>
            <w:shd w:val="clear" w:color="auto" w:fill="auto"/>
            <w:vAlign w:val="center"/>
          </w:tcPr>
          <w:p w:rsidR="006B35AF" w:rsidRDefault="00570D47">
            <w:pPr>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服务对满意度指标象</w:t>
            </w: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：学生、家长满意度（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90</w:t>
            </w:r>
          </w:p>
        </w:tc>
        <w:tc>
          <w:tcPr>
            <w:tcW w:w="779" w:type="dxa"/>
            <w:vMerge w:val="restart"/>
            <w:tcBorders>
              <w:top w:val="nil"/>
              <w:left w:val="nil"/>
              <w:right w:val="single" w:sz="4" w:space="0" w:color="auto"/>
            </w:tcBorders>
            <w:shd w:val="clear" w:color="auto" w:fill="auto"/>
            <w:vAlign w:val="center"/>
          </w:tcPr>
          <w:p w:rsidR="006B35AF" w:rsidRDefault="00570D47">
            <w:pPr>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服务对满意度指标象</w:t>
            </w: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1</w:t>
            </w:r>
            <w:r>
              <w:rPr>
                <w:rFonts w:asciiTheme="minorEastAsia" w:hAnsiTheme="minorEastAsia" w:cs="Times New Roman" w:hint="eastAsia"/>
                <w:color w:val="000000"/>
                <w:kern w:val="0"/>
                <w:sz w:val="20"/>
                <w:szCs w:val="20"/>
              </w:rPr>
              <w:t>：学生、家长满意度（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90</w:t>
            </w:r>
          </w:p>
        </w:tc>
      </w:tr>
      <w:tr w:rsidR="006B35AF">
        <w:trPr>
          <w:trHeight w:val="641"/>
          <w:jc w:val="center"/>
        </w:trPr>
        <w:tc>
          <w:tcPr>
            <w:tcW w:w="556" w:type="dxa"/>
            <w:vMerge/>
            <w:tcBorders>
              <w:top w:val="nil"/>
              <w:left w:val="single" w:sz="4" w:space="0" w:color="auto"/>
              <w:bottom w:val="single" w:sz="4" w:space="0" w:color="auto"/>
              <w:right w:val="single" w:sz="4" w:space="0" w:color="auto"/>
            </w:tcBorders>
            <w:vAlign w:val="center"/>
          </w:tcPr>
          <w:p w:rsidR="006B35AF" w:rsidRDefault="006B35AF">
            <w:pPr>
              <w:widowControl/>
              <w:jc w:val="left"/>
              <w:rPr>
                <w:rFonts w:asciiTheme="minorEastAsia" w:hAnsiTheme="minorEastAsia" w:cs="Times New Roman"/>
                <w:color w:val="000000"/>
                <w:kern w:val="0"/>
                <w:sz w:val="20"/>
                <w:szCs w:val="20"/>
              </w:rPr>
            </w:pPr>
          </w:p>
        </w:tc>
        <w:tc>
          <w:tcPr>
            <w:tcW w:w="551"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1122"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38" w:type="dxa"/>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：企业满意度（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886"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≧90</w:t>
            </w:r>
          </w:p>
        </w:tc>
        <w:tc>
          <w:tcPr>
            <w:tcW w:w="779" w:type="dxa"/>
            <w:vMerge/>
            <w:tcBorders>
              <w:left w:val="nil"/>
              <w:bottom w:val="single" w:sz="4" w:space="0" w:color="auto"/>
              <w:right w:val="single" w:sz="4" w:space="0" w:color="auto"/>
            </w:tcBorders>
            <w:shd w:val="clear" w:color="auto" w:fill="auto"/>
            <w:vAlign w:val="center"/>
          </w:tcPr>
          <w:p w:rsidR="006B35AF" w:rsidRDefault="006B35AF">
            <w:pPr>
              <w:widowControl/>
              <w:jc w:val="center"/>
              <w:rPr>
                <w:rFonts w:asciiTheme="minorEastAsia" w:hAnsiTheme="minorEastAsia" w:cs="Times New Roman"/>
                <w:color w:val="000000"/>
                <w:kern w:val="0"/>
                <w:sz w:val="20"/>
                <w:szCs w:val="20"/>
              </w:rPr>
            </w:pPr>
          </w:p>
        </w:tc>
        <w:tc>
          <w:tcPr>
            <w:tcW w:w="2117" w:type="dxa"/>
            <w:gridSpan w:val="2"/>
            <w:tcBorders>
              <w:top w:val="nil"/>
              <w:left w:val="nil"/>
              <w:bottom w:val="single" w:sz="4" w:space="0" w:color="auto"/>
              <w:right w:val="single" w:sz="4" w:space="0" w:color="auto"/>
            </w:tcBorders>
            <w:shd w:val="clear" w:color="auto" w:fill="auto"/>
            <w:vAlign w:val="center"/>
          </w:tcPr>
          <w:p w:rsidR="006B35AF" w:rsidRDefault="00570D47">
            <w:pPr>
              <w:widowControl/>
              <w:jc w:val="left"/>
              <w:rPr>
                <w:rFonts w:asciiTheme="minorEastAsia" w:hAnsiTheme="minorEastAsia" w:cs="Times New Roman"/>
                <w:color w:val="000000"/>
                <w:kern w:val="0"/>
                <w:sz w:val="20"/>
                <w:szCs w:val="20"/>
              </w:rPr>
            </w:pPr>
            <w:r>
              <w:rPr>
                <w:rFonts w:asciiTheme="minorEastAsia" w:hAnsiTheme="minorEastAsia" w:cs="Times New Roman" w:hint="eastAsia"/>
                <w:color w:val="000000"/>
                <w:kern w:val="0"/>
                <w:sz w:val="20"/>
                <w:szCs w:val="20"/>
              </w:rPr>
              <w:t>指标</w:t>
            </w:r>
            <w:r>
              <w:rPr>
                <w:rFonts w:asciiTheme="minorEastAsia" w:hAnsiTheme="minorEastAsia" w:cs="Times New Roman" w:hint="eastAsia"/>
                <w:color w:val="000000"/>
                <w:kern w:val="0"/>
                <w:sz w:val="20"/>
                <w:szCs w:val="20"/>
              </w:rPr>
              <w:t>2</w:t>
            </w:r>
            <w:r>
              <w:rPr>
                <w:rFonts w:asciiTheme="minorEastAsia" w:hAnsiTheme="minorEastAsia" w:cs="Times New Roman" w:hint="eastAsia"/>
                <w:color w:val="000000"/>
                <w:kern w:val="0"/>
                <w:sz w:val="20"/>
                <w:szCs w:val="20"/>
              </w:rPr>
              <w:t>：企业满意度（</w:t>
            </w:r>
            <w:r>
              <w:rPr>
                <w:rFonts w:asciiTheme="minorEastAsia" w:hAnsiTheme="minorEastAsia" w:cs="Times New Roman" w:hint="eastAsia"/>
                <w:color w:val="000000"/>
                <w:kern w:val="0"/>
                <w:sz w:val="20"/>
                <w:szCs w:val="20"/>
              </w:rPr>
              <w:t>%</w:t>
            </w:r>
            <w:r>
              <w:rPr>
                <w:rFonts w:asciiTheme="minorEastAsia" w:hAnsiTheme="minorEastAsia" w:cs="Times New Roman" w:hint="eastAsia"/>
                <w:color w:val="000000"/>
                <w:kern w:val="0"/>
                <w:sz w:val="20"/>
                <w:szCs w:val="20"/>
              </w:rPr>
              <w:t>）</w:t>
            </w:r>
          </w:p>
        </w:tc>
        <w:tc>
          <w:tcPr>
            <w:tcW w:w="923" w:type="dxa"/>
            <w:tcBorders>
              <w:top w:val="nil"/>
              <w:left w:val="nil"/>
              <w:bottom w:val="single" w:sz="4" w:space="0" w:color="auto"/>
              <w:right w:val="single" w:sz="4" w:space="0" w:color="auto"/>
            </w:tcBorders>
            <w:shd w:val="clear" w:color="auto" w:fill="auto"/>
            <w:vAlign w:val="center"/>
          </w:tcPr>
          <w:p w:rsidR="006B35AF" w:rsidRDefault="00570D47">
            <w:pPr>
              <w:widowControl/>
              <w:jc w:val="center"/>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≧90</w:t>
            </w:r>
          </w:p>
        </w:tc>
      </w:tr>
    </w:tbl>
    <w:p w:rsidR="006B35AF" w:rsidRDefault="00570D47" w:rsidP="00FA2640">
      <w:pPr>
        <w:adjustRightInd w:val="0"/>
        <w:snapToGri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（二）机关运行经费。</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hint="eastAsia"/>
          <w:kern w:val="0"/>
          <w:sz w:val="32"/>
          <w:szCs w:val="32"/>
        </w:rPr>
        <w:t>为</w:t>
      </w:r>
      <w:r>
        <w:rPr>
          <w:rFonts w:ascii="Times New Roman" w:eastAsia="仿宋_GB2312" w:hAnsi="Times New Roman" w:cs="Times New Roman" w:hint="eastAsia"/>
          <w:sz w:val="32"/>
          <w:szCs w:val="32"/>
        </w:rPr>
        <w:t>非参照公务员法管理事业单位，</w:t>
      </w:r>
      <w:r>
        <w:rPr>
          <w:rFonts w:ascii="Times New Roman" w:eastAsia="仿宋_GB2312" w:hAnsi="Times New Roman" w:cs="Times New Roman" w:hint="eastAsia"/>
          <w:sz w:val="32"/>
          <w:szCs w:val="32"/>
        </w:rPr>
        <w:t>按照部门预算机关运行经费口径，</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无机关运行经费</w:t>
      </w:r>
      <w:r>
        <w:rPr>
          <w:rFonts w:ascii="Times New Roman" w:eastAsia="仿宋_GB2312" w:hAnsi="Times New Roman" w:cs="Times New Roman" w:hint="eastAsia"/>
          <w:sz w:val="32"/>
          <w:szCs w:val="32"/>
        </w:rPr>
        <w:t>财政拨款</w:t>
      </w:r>
      <w:r>
        <w:rPr>
          <w:rFonts w:ascii="Times New Roman" w:eastAsia="仿宋_GB2312" w:hAnsi="Times New Roman" w:cs="Times New Roman" w:hint="eastAsia"/>
          <w:sz w:val="32"/>
          <w:szCs w:val="32"/>
        </w:rPr>
        <w:t>预</w:t>
      </w:r>
      <w:r>
        <w:rPr>
          <w:rFonts w:ascii="Times New Roman" w:eastAsia="仿宋_GB2312" w:hAnsi="Times New Roman" w:cs="Times New Roman" w:hint="eastAsia"/>
          <w:sz w:val="32"/>
          <w:szCs w:val="32"/>
        </w:rPr>
        <w:lastRenderedPageBreak/>
        <w:t>算。</w:t>
      </w:r>
    </w:p>
    <w:p w:rsidR="006B35AF" w:rsidRDefault="00570D47" w:rsidP="00FA2640">
      <w:pPr>
        <w:adjustRightInd w:val="0"/>
        <w:snapToGrid w:val="0"/>
        <w:spacing w:line="600" w:lineRule="exact"/>
        <w:ind w:firstLineChars="300" w:firstLine="964"/>
        <w:rPr>
          <w:rFonts w:ascii="Times New Roman" w:eastAsia="楷体_GB2312" w:hAnsi="Times New Roman" w:cs="Times New Roman"/>
          <w:b/>
          <w:sz w:val="32"/>
          <w:szCs w:val="32"/>
        </w:rPr>
      </w:pPr>
      <w:r>
        <w:rPr>
          <w:rFonts w:ascii="Times New Roman" w:eastAsia="楷体_GB2312" w:hAnsi="Times New Roman" w:cs="Times New Roman"/>
          <w:b/>
          <w:sz w:val="32"/>
          <w:szCs w:val="32"/>
        </w:rPr>
        <w:t>（三）政府采购情况。</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年政府采购预算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万元。其中：政府采购货物预算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万元，政府采购工程预算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万元，政府采购服务预算</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6B35AF" w:rsidRDefault="00570D47" w:rsidP="00FA2640">
      <w:pPr>
        <w:adjustRightInd w:val="0"/>
        <w:snapToGrid w:val="0"/>
        <w:spacing w:line="600" w:lineRule="exact"/>
        <w:ind w:firstLineChars="200" w:firstLine="643"/>
        <w:rPr>
          <w:rFonts w:ascii="Times New Roman" w:eastAsia="楷体_GB2312" w:hAnsi="Times New Roman" w:cs="Times New Roman"/>
          <w:b/>
          <w:sz w:val="32"/>
          <w:szCs w:val="32"/>
        </w:rPr>
      </w:pPr>
      <w:bookmarkStart w:id="0" w:name="_GoBack"/>
      <w:bookmarkEnd w:id="0"/>
      <w:r>
        <w:rPr>
          <w:rFonts w:ascii="Times New Roman" w:eastAsia="楷体_GB2312" w:hAnsi="Times New Roman" w:cs="Times New Roman"/>
          <w:b/>
          <w:sz w:val="32"/>
          <w:szCs w:val="32"/>
        </w:rPr>
        <w:t>（四）国有资产占有使用情况。</w:t>
      </w:r>
    </w:p>
    <w:p w:rsidR="006B35AF" w:rsidRDefault="00570D47">
      <w:pPr>
        <w:adjustRightInd w:val="0"/>
        <w:snapToGrid w:val="0"/>
        <w:spacing w:line="600" w:lineRule="exact"/>
        <w:ind w:firstLineChars="200" w:firstLine="640"/>
        <w:rPr>
          <w:rFonts w:ascii="Times New Roman" w:eastAsia="仿宋_GB2312" w:hAnsi="Times New Roman" w:cs="Times New Roman"/>
          <w:color w:val="3366FF"/>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sz w:val="32"/>
          <w:szCs w:val="32"/>
        </w:rPr>
        <w:t>共有车辆</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辆。单位价值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万元以上的专用设备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w:t>
      </w:r>
    </w:p>
    <w:p w:rsidR="006B35AF" w:rsidRDefault="00570D47">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年单位预算安排购置公务用车</w:t>
      </w:r>
      <w:r>
        <w:rPr>
          <w:rFonts w:ascii="Times New Roman" w:eastAsia="仿宋_GB2312" w:hAnsi="Times New Roman" w:cs="Times New Roman"/>
          <w:sz w:val="32"/>
          <w:szCs w:val="32"/>
        </w:rPr>
        <w:t>0</w:t>
      </w:r>
      <w:r>
        <w:rPr>
          <w:rFonts w:ascii="Times New Roman" w:eastAsia="仿宋_GB2312" w:hAnsi="Times New Roman" w:cs="Times New Roman"/>
          <w:sz w:val="32"/>
          <w:szCs w:val="32"/>
        </w:rPr>
        <w:t>辆，购置费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安排购置单位价值</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万元以上专用设备</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台</w:t>
      </w:r>
      <w:r>
        <w:rPr>
          <w:rFonts w:ascii="Times New Roman" w:eastAsia="仿宋_GB2312" w:hAnsi="Times New Roman" w:cs="Times New Roman"/>
          <w:sz w:val="32"/>
          <w:szCs w:val="32"/>
        </w:rPr>
        <w:t>，购置费</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p>
    <w:p w:rsidR="006B35AF" w:rsidRDefault="00570D47" w:rsidP="00FA2640">
      <w:pPr>
        <w:adjustRightInd w:val="0"/>
        <w:snapToGrid w:val="0"/>
        <w:spacing w:line="60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（五）绩效目标设置情况。</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kern w:val="0"/>
          <w:sz w:val="32"/>
          <w:szCs w:val="32"/>
        </w:rPr>
        <w:t>安徽生物工程学校</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个项目实行了绩效目标管理，涉及一般公共预算当年财政拨款</w:t>
      </w:r>
      <w:r>
        <w:rPr>
          <w:rFonts w:ascii="Times New Roman" w:eastAsia="仿宋_GB2312" w:hAnsi="Times New Roman" w:cs="Times New Roman"/>
          <w:sz w:val="32"/>
          <w:szCs w:val="32"/>
        </w:rPr>
        <w:t>142.7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、政府性基金预算当年财政拨款</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万元、国有资本经营预算当年财政拨款</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万元、财政专户管理资金当年安排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万元和单位资金当年安排</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p>
    <w:p w:rsidR="006B35AF" w:rsidRDefault="006B35AF">
      <w:pPr>
        <w:tabs>
          <w:tab w:val="left" w:pos="3316"/>
        </w:tabs>
        <w:adjustRightInd w:val="0"/>
        <w:snapToGrid w:val="0"/>
        <w:spacing w:line="600" w:lineRule="exact"/>
        <w:rPr>
          <w:rFonts w:ascii="Times New Roman" w:eastAsia="黑体" w:hAnsi="Times New Roman" w:cs="Times New Roman"/>
          <w:sz w:val="36"/>
          <w:szCs w:val="36"/>
        </w:rPr>
      </w:pPr>
    </w:p>
    <w:p w:rsidR="006B35AF" w:rsidRDefault="00570D47">
      <w:pPr>
        <w:tabs>
          <w:tab w:val="left" w:pos="3316"/>
        </w:tabs>
        <w:adjustRightInd w:val="0"/>
        <w:snapToGrid w:val="0"/>
        <w:spacing w:line="60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第四部分</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名词解释</w:t>
      </w:r>
    </w:p>
    <w:p w:rsidR="006B35AF" w:rsidRDefault="006B35AF">
      <w:pPr>
        <w:adjustRightInd w:val="0"/>
        <w:snapToGrid w:val="0"/>
        <w:spacing w:line="600" w:lineRule="exact"/>
        <w:rPr>
          <w:rFonts w:ascii="Times New Roman" w:eastAsia="黑体" w:hAnsi="Times New Roman" w:cs="Times New Roman"/>
          <w:sz w:val="32"/>
          <w:szCs w:val="32"/>
        </w:rPr>
      </w:pP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一、财政拨款收入</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指部门或单位从同级财政部门取得的财政预算资金。</w:t>
      </w:r>
    </w:p>
    <w:p w:rsidR="006B35AF" w:rsidRDefault="00570D47">
      <w:pPr>
        <w:pStyle w:val="a6"/>
        <w:widowControl w:val="0"/>
        <w:adjustRightInd w:val="0"/>
        <w:snapToGrid w:val="0"/>
        <w:spacing w:before="0" w:beforeAutospacing="0" w:after="0" w:afterAutospacing="0" w:line="600" w:lineRule="exact"/>
        <w:ind w:firstLineChars="196" w:firstLine="627"/>
        <w:jc w:val="both"/>
        <w:rPr>
          <w:rFonts w:ascii="Times New Roman" w:eastAsia="黑体" w:hAnsi="Times New Roman" w:cs="Times New Roman"/>
          <w:sz w:val="32"/>
          <w:szCs w:val="32"/>
        </w:rPr>
      </w:pPr>
      <w:r>
        <w:rPr>
          <w:rFonts w:ascii="Times New Roman" w:eastAsia="黑体" w:hAnsi="Times New Roman" w:cs="Times New Roman"/>
          <w:kern w:val="2"/>
          <w:sz w:val="32"/>
          <w:szCs w:val="32"/>
        </w:rPr>
        <w:t>二、事业收入：</w:t>
      </w:r>
      <w:r>
        <w:rPr>
          <w:rFonts w:ascii="Times New Roman" w:eastAsia="仿宋_GB2312" w:hAnsi="Times New Roman" w:cs="Times New Roman"/>
          <w:kern w:val="2"/>
          <w:sz w:val="32"/>
          <w:szCs w:val="32"/>
        </w:rPr>
        <w:t>指事业单位开展专业业务活动及辅助活动所</w:t>
      </w:r>
      <w:r>
        <w:rPr>
          <w:rFonts w:ascii="Times New Roman" w:eastAsia="仿宋_GB2312" w:hAnsi="Times New Roman" w:cs="Times New Roman"/>
          <w:kern w:val="2"/>
          <w:sz w:val="32"/>
          <w:szCs w:val="32"/>
        </w:rPr>
        <w:lastRenderedPageBreak/>
        <w:t>取得的收入。</w:t>
      </w:r>
    </w:p>
    <w:p w:rsidR="006B35AF" w:rsidRDefault="00570D47">
      <w:pPr>
        <w:pStyle w:val="a6"/>
        <w:widowControl w:val="0"/>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kern w:val="2"/>
          <w:sz w:val="32"/>
          <w:szCs w:val="32"/>
        </w:rPr>
      </w:pPr>
      <w:r>
        <w:rPr>
          <w:rFonts w:ascii="Times New Roman" w:eastAsia="黑体" w:hAnsi="Times New Roman" w:cs="Times New Roman"/>
          <w:sz w:val="32"/>
          <w:szCs w:val="32"/>
        </w:rPr>
        <w:t>三、财政专户管理资金：</w:t>
      </w:r>
      <w:r>
        <w:rPr>
          <w:rFonts w:ascii="Times New Roman" w:eastAsia="仿宋_GB2312" w:hAnsi="Times New Roman" w:cs="Times New Roman"/>
          <w:kern w:val="2"/>
          <w:sz w:val="32"/>
          <w:szCs w:val="32"/>
        </w:rPr>
        <w:t>指按照非税收入管理相关规定，纳入财政专户管理的教育收费等。</w:t>
      </w:r>
    </w:p>
    <w:p w:rsidR="006B35AF" w:rsidRDefault="00570D47">
      <w:pPr>
        <w:pStyle w:val="a6"/>
        <w:widowControl w:val="0"/>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kern w:val="2"/>
          <w:sz w:val="32"/>
          <w:szCs w:val="32"/>
        </w:rPr>
      </w:pPr>
      <w:r>
        <w:rPr>
          <w:rFonts w:ascii="Times New Roman" w:eastAsia="黑体" w:hAnsi="Times New Roman" w:cs="Times New Roman"/>
          <w:sz w:val="32"/>
          <w:szCs w:val="32"/>
        </w:rPr>
        <w:t>四、上年结转：</w:t>
      </w:r>
      <w:r>
        <w:rPr>
          <w:rFonts w:ascii="Times New Roman" w:eastAsia="仿宋_GB2312" w:hAnsi="Times New Roman" w:cs="Times New Roman"/>
          <w:kern w:val="2"/>
          <w:sz w:val="32"/>
          <w:szCs w:val="32"/>
        </w:rPr>
        <w:t>指以前年度安排、结转到本年仍按原用途继续使用的资金。</w:t>
      </w:r>
    </w:p>
    <w:p w:rsidR="006B35AF" w:rsidRDefault="00570D47">
      <w:pPr>
        <w:pStyle w:val="a6"/>
        <w:widowControl w:val="0"/>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sz w:val="32"/>
          <w:szCs w:val="32"/>
        </w:rPr>
      </w:pPr>
      <w:r>
        <w:rPr>
          <w:rFonts w:ascii="Times New Roman" w:eastAsia="黑体" w:hAnsi="Times New Roman" w:cs="Times New Roman"/>
          <w:sz w:val="32"/>
          <w:szCs w:val="32"/>
        </w:rPr>
        <w:t>五、基本支出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指为保障机构正常运转、完成日常工作任务而发生的人员支出和公用支出。</w:t>
      </w:r>
    </w:p>
    <w:p w:rsidR="006B35AF" w:rsidRDefault="00570D47">
      <w:pPr>
        <w:pStyle w:val="a6"/>
        <w:widowControl w:val="0"/>
        <w:adjustRightInd w:val="0"/>
        <w:snapToGrid w:val="0"/>
        <w:spacing w:before="0" w:beforeAutospacing="0" w:after="0" w:afterAutospacing="0" w:line="600" w:lineRule="exact"/>
        <w:ind w:firstLineChars="196" w:firstLine="627"/>
        <w:jc w:val="both"/>
        <w:rPr>
          <w:rFonts w:ascii="Times New Roman" w:eastAsia="仿宋_GB2312" w:hAnsi="Times New Roman" w:cs="Times New Roman"/>
          <w:sz w:val="32"/>
          <w:szCs w:val="32"/>
        </w:rPr>
      </w:pPr>
      <w:r>
        <w:rPr>
          <w:rFonts w:ascii="Times New Roman" w:eastAsia="黑体" w:hAnsi="Times New Roman" w:cs="Times New Roman"/>
          <w:sz w:val="32"/>
          <w:szCs w:val="32"/>
        </w:rPr>
        <w:t>六、项目支出</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指在除基本支出之外的支出，主要用于完成特定的工作任务和事业发展目标。</w:t>
      </w:r>
      <w:r>
        <w:rPr>
          <w:rFonts w:ascii="Times New Roman" w:eastAsia="仿宋_GB2312" w:hAnsi="Times New Roman" w:cs="Times New Roman"/>
          <w:sz w:val="32"/>
          <w:szCs w:val="32"/>
        </w:rPr>
        <w:br/>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七、机关运行经费</w:t>
      </w:r>
      <w:r>
        <w:rPr>
          <w:rFonts w:ascii="Times New Roman" w:eastAsia="黑体" w:hAnsi="Times New Roman" w:cs="Times New Roman"/>
          <w:sz w:val="32"/>
          <w:szCs w:val="32"/>
        </w:rPr>
        <w:t>:</w:t>
      </w:r>
      <w:r>
        <w:rPr>
          <w:rFonts w:ascii="Times New Roman" w:eastAsia="仿宋_GB2312" w:hAnsi="Times New Roman"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r>
        <w:rPr>
          <w:rFonts w:ascii="Times New Roman" w:eastAsia="仿宋_GB2312" w:hAnsi="Times New Roman" w:cs="Times New Roman"/>
          <w:sz w:val="32"/>
          <w:szCs w:val="32"/>
        </w:rPr>
        <w:t xml:space="preserve"> </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八、</w:t>
      </w:r>
      <w:r>
        <w:rPr>
          <w:rFonts w:ascii="Times New Roman" w:eastAsia="黑体" w:hAnsi="Times New Roman" w:cs="Times New Roman"/>
          <w:sz w:val="32"/>
          <w:szCs w:val="32"/>
        </w:rPr>
        <w:t>“</w:t>
      </w:r>
      <w:r>
        <w:rPr>
          <w:rFonts w:ascii="Times New Roman" w:eastAsia="黑体" w:hAnsi="Times New Roman" w:cs="Times New Roman"/>
          <w:sz w:val="32"/>
          <w:szCs w:val="32"/>
        </w:rPr>
        <w:t>三公</w:t>
      </w:r>
      <w:r>
        <w:rPr>
          <w:rFonts w:ascii="Times New Roman" w:eastAsia="黑体" w:hAnsi="Times New Roman" w:cs="Times New Roman"/>
          <w:sz w:val="32"/>
          <w:szCs w:val="32"/>
        </w:rPr>
        <w:t>”</w:t>
      </w:r>
      <w:r>
        <w:rPr>
          <w:rFonts w:ascii="Times New Roman" w:eastAsia="黑体" w:hAnsi="Times New Roman" w:cs="Times New Roman"/>
          <w:sz w:val="32"/>
          <w:szCs w:val="32"/>
        </w:rPr>
        <w:t>经费</w:t>
      </w:r>
      <w:r>
        <w:rPr>
          <w:rFonts w:ascii="Times New Roman" w:eastAsia="黑体" w:hAnsi="Times New Roman" w:cs="Times New Roman"/>
          <w:sz w:val="32"/>
          <w:szCs w:val="32"/>
        </w:rPr>
        <w:t>:</w:t>
      </w:r>
      <w:r>
        <w:rPr>
          <w:rFonts w:ascii="Times New Roman" w:eastAsia="仿宋_GB2312" w:hAnsi="Times New Roman" w:cs="Times New Roman"/>
          <w:sz w:val="32"/>
          <w:szCs w:val="32"/>
        </w:rPr>
        <w:t>纳入财政预决算管理的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单位用财政拨款安排的因公出国（境）费、公务用车购置及运行费和公务接待费。其中，因公出国（境）费反应单位公务出国（境）的国际旅费、国外城市间交通费、住宿费、伙食费、培训费、公杂费等支出；公务用车购置及运行费反应单位公务用车购置支出（含车辆购置税）及燃料费、维修费、过路过桥费、保险费、安全奖励费用等支出；公务接待费反映单位按规定开支的各类公务</w:t>
      </w:r>
      <w:r>
        <w:rPr>
          <w:rFonts w:ascii="Times New Roman" w:eastAsia="仿宋_GB2312" w:hAnsi="Times New Roman" w:cs="Times New Roman"/>
          <w:sz w:val="32"/>
          <w:szCs w:val="32"/>
        </w:rPr>
        <w:lastRenderedPageBreak/>
        <w:t>接待（含外宾接待）支出。</w:t>
      </w:r>
      <w:r>
        <w:rPr>
          <w:rFonts w:ascii="Times New Roman" w:eastAsia="仿宋_GB2312" w:hAnsi="Times New Roman" w:cs="Times New Roman"/>
          <w:sz w:val="32"/>
          <w:szCs w:val="32"/>
        </w:rPr>
        <w:t xml:space="preserve">                                         </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九、农林水支出（类）农业</w:t>
      </w:r>
      <w:r>
        <w:rPr>
          <w:rFonts w:ascii="Times New Roman" w:eastAsia="黑体" w:hAnsi="Times New Roman" w:cs="Times New Roman"/>
          <w:sz w:val="32"/>
          <w:szCs w:val="32"/>
        </w:rPr>
        <w:t>农村（款）</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反映财政用于种植业、畜牧业、渔业、兽医、农机、农垦、农场、农业产业、农村社会事业等方面的支出。</w:t>
      </w:r>
    </w:p>
    <w:p w:rsidR="006B35AF" w:rsidRDefault="00570D47">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）事业运行（项）：反映用于农业事业单位基本支出，事业单位设施、系统运行与资产维护等方面的支出。</w:t>
      </w:r>
    </w:p>
    <w:p w:rsidR="006B35AF" w:rsidRDefault="00570D47">
      <w:pPr>
        <w:pStyle w:val="a6"/>
        <w:widowControl w:val="0"/>
        <w:adjustRightInd w:val="0"/>
        <w:snapToGrid w:val="0"/>
        <w:spacing w:before="0" w:beforeAutospacing="0" w:after="0" w:afterAutospacing="0" w:line="600" w:lineRule="exact"/>
        <w:ind w:firstLineChars="200" w:firstLine="640"/>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二</w:t>
      </w:r>
      <w:r>
        <w:rPr>
          <w:rFonts w:ascii="Times New Roman" w:eastAsia="仿宋_GB2312" w:hAnsi="Times New Roman" w:cs="Times New Roman"/>
          <w:color w:val="000000" w:themeColor="text1"/>
          <w:sz w:val="32"/>
          <w:szCs w:val="32"/>
        </w:rPr>
        <w:t>）农业资源保护修复与利用</w:t>
      </w:r>
      <w:r>
        <w:rPr>
          <w:rFonts w:ascii="Times New Roman" w:eastAsia="仿宋_GB2312" w:hAnsi="Times New Roman" w:cs="Times New Roman"/>
          <w:sz w:val="32"/>
          <w:szCs w:val="32"/>
        </w:rPr>
        <w:t>（项）</w:t>
      </w:r>
      <w:r>
        <w:rPr>
          <w:rFonts w:ascii="Times New Roman" w:eastAsia="仿宋_GB2312" w:hAnsi="Times New Roman" w:cs="Times New Roman"/>
          <w:color w:val="000000" w:themeColor="text1"/>
          <w:sz w:val="32"/>
          <w:szCs w:val="32"/>
        </w:rPr>
        <w:t>：反映用于农业耕地保护、修复与建设，草原草场改良、利用与建设，渔业水产及水生生物资源保护与利用等方面的支出。</w:t>
      </w:r>
    </w:p>
    <w:p w:rsidR="006B35AF" w:rsidRDefault="006B35AF">
      <w:pPr>
        <w:adjustRightInd w:val="0"/>
        <w:snapToGrid w:val="0"/>
        <w:spacing w:line="600" w:lineRule="exact"/>
        <w:ind w:firstLineChars="200" w:firstLine="420"/>
        <w:rPr>
          <w:rFonts w:ascii="Times New Roman" w:hAnsi="Times New Roman" w:cs="Times New Roman"/>
        </w:rPr>
      </w:pPr>
    </w:p>
    <w:sectPr w:rsidR="006B35AF" w:rsidSect="006B35AF">
      <w:pgSz w:w="11906" w:h="16838"/>
      <w:pgMar w:top="1928" w:right="1531" w:bottom="1814"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47" w:rsidRDefault="00570D47" w:rsidP="006B35AF">
      <w:r>
        <w:separator/>
      </w:r>
    </w:p>
  </w:endnote>
  <w:endnote w:type="continuationSeparator" w:id="0">
    <w:p w:rsidR="00570D47" w:rsidRDefault="00570D47" w:rsidP="006B3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AF" w:rsidRDefault="006B35AF">
    <w:pPr>
      <w:pStyle w:val="a4"/>
      <w:jc w:val="right"/>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0655711"/>
                </w:sdtPr>
                <w:sdtContent>
                  <w:p w:rsidR="006B35AF" w:rsidRDefault="006B35AF">
                    <w:pPr>
                      <w:pStyle w:val="a4"/>
                      <w:jc w:val="right"/>
                    </w:pPr>
                    <w:r w:rsidRPr="006B35AF">
                      <w:fldChar w:fldCharType="begin"/>
                    </w:r>
                    <w:r w:rsidR="00570D47">
                      <w:instrText xml:space="preserve"> PAGE   \* MERGEFORMAT </w:instrText>
                    </w:r>
                    <w:r w:rsidRPr="006B35AF">
                      <w:fldChar w:fldCharType="separate"/>
                    </w:r>
                    <w:r w:rsidR="00FA2640" w:rsidRPr="00FA2640">
                      <w:rPr>
                        <w:noProof/>
                        <w:lang w:val="zh-CN"/>
                      </w:rPr>
                      <w:t>25</w:t>
                    </w:r>
                    <w:r>
                      <w:rPr>
                        <w:lang w:val="zh-CN"/>
                      </w:rPr>
                      <w:fldChar w:fldCharType="end"/>
                    </w:r>
                  </w:p>
                </w:sdtContent>
              </w:sdt>
              <w:p w:rsidR="006B35AF" w:rsidRDefault="006B35AF"/>
            </w:txbxContent>
          </v:textbox>
          <w10:wrap anchorx="margin"/>
        </v:shape>
      </w:pict>
    </w:r>
  </w:p>
  <w:p w:rsidR="006B35AF" w:rsidRDefault="006B35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47" w:rsidRDefault="00570D47" w:rsidP="006B35AF">
      <w:r>
        <w:separator/>
      </w:r>
    </w:p>
  </w:footnote>
  <w:footnote w:type="continuationSeparator" w:id="0">
    <w:p w:rsidR="00570D47" w:rsidRDefault="00570D47" w:rsidP="006B3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34332"/>
    <w:multiLevelType w:val="singleLevel"/>
    <w:tmpl w:val="61F34332"/>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2"/>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7155"/>
    <w:rsid w:val="A27FF629"/>
    <w:rsid w:val="BDED6634"/>
    <w:rsid w:val="000003C1"/>
    <w:rsid w:val="00001826"/>
    <w:rsid w:val="000118C5"/>
    <w:rsid w:val="00015821"/>
    <w:rsid w:val="00016DCE"/>
    <w:rsid w:val="00026E99"/>
    <w:rsid w:val="0005090D"/>
    <w:rsid w:val="00052923"/>
    <w:rsid w:val="0005523F"/>
    <w:rsid w:val="000720A0"/>
    <w:rsid w:val="000779A3"/>
    <w:rsid w:val="000807F9"/>
    <w:rsid w:val="000812F3"/>
    <w:rsid w:val="000837C9"/>
    <w:rsid w:val="000859AC"/>
    <w:rsid w:val="00086992"/>
    <w:rsid w:val="0009339B"/>
    <w:rsid w:val="000945B8"/>
    <w:rsid w:val="00095C1B"/>
    <w:rsid w:val="000B486F"/>
    <w:rsid w:val="000B701A"/>
    <w:rsid w:val="000C083F"/>
    <w:rsid w:val="000C0EE2"/>
    <w:rsid w:val="000E0593"/>
    <w:rsid w:val="000F001D"/>
    <w:rsid w:val="000F35AE"/>
    <w:rsid w:val="000F6687"/>
    <w:rsid w:val="000F6876"/>
    <w:rsid w:val="00113BF5"/>
    <w:rsid w:val="0012431A"/>
    <w:rsid w:val="00130CD5"/>
    <w:rsid w:val="00143558"/>
    <w:rsid w:val="00145013"/>
    <w:rsid w:val="00145AB0"/>
    <w:rsid w:val="00150DF1"/>
    <w:rsid w:val="00152846"/>
    <w:rsid w:val="00152BF2"/>
    <w:rsid w:val="001543FA"/>
    <w:rsid w:val="00161C3F"/>
    <w:rsid w:val="00162779"/>
    <w:rsid w:val="00165C02"/>
    <w:rsid w:val="00166692"/>
    <w:rsid w:val="00167E36"/>
    <w:rsid w:val="001771E6"/>
    <w:rsid w:val="001803E7"/>
    <w:rsid w:val="00181821"/>
    <w:rsid w:val="001939C0"/>
    <w:rsid w:val="00194491"/>
    <w:rsid w:val="001949D0"/>
    <w:rsid w:val="001A3B90"/>
    <w:rsid w:val="001A6389"/>
    <w:rsid w:val="001A70D0"/>
    <w:rsid w:val="001B0E58"/>
    <w:rsid w:val="001B2BC4"/>
    <w:rsid w:val="001C3EA4"/>
    <w:rsid w:val="001C4E9A"/>
    <w:rsid w:val="001C503C"/>
    <w:rsid w:val="001C58CC"/>
    <w:rsid w:val="001D4149"/>
    <w:rsid w:val="001D7F2D"/>
    <w:rsid w:val="001E2E30"/>
    <w:rsid w:val="001E4162"/>
    <w:rsid w:val="001E717A"/>
    <w:rsid w:val="001F54C8"/>
    <w:rsid w:val="001F739C"/>
    <w:rsid w:val="001F79A9"/>
    <w:rsid w:val="0020058F"/>
    <w:rsid w:val="002015CE"/>
    <w:rsid w:val="0020776B"/>
    <w:rsid w:val="00210D08"/>
    <w:rsid w:val="00214C56"/>
    <w:rsid w:val="00216C3F"/>
    <w:rsid w:val="00226E7B"/>
    <w:rsid w:val="00234110"/>
    <w:rsid w:val="002351AD"/>
    <w:rsid w:val="00236E5A"/>
    <w:rsid w:val="002458E8"/>
    <w:rsid w:val="0024741B"/>
    <w:rsid w:val="0025289A"/>
    <w:rsid w:val="00263B7E"/>
    <w:rsid w:val="002711F0"/>
    <w:rsid w:val="002725C5"/>
    <w:rsid w:val="0027798C"/>
    <w:rsid w:val="00277F2D"/>
    <w:rsid w:val="00280650"/>
    <w:rsid w:val="00281F8D"/>
    <w:rsid w:val="002911C3"/>
    <w:rsid w:val="002919CE"/>
    <w:rsid w:val="00294131"/>
    <w:rsid w:val="002A6B54"/>
    <w:rsid w:val="002B650B"/>
    <w:rsid w:val="002C2BDF"/>
    <w:rsid w:val="002C42FE"/>
    <w:rsid w:val="002C781A"/>
    <w:rsid w:val="002E11DE"/>
    <w:rsid w:val="002E284A"/>
    <w:rsid w:val="002F24BA"/>
    <w:rsid w:val="002F45BE"/>
    <w:rsid w:val="002F54FF"/>
    <w:rsid w:val="002F6AE2"/>
    <w:rsid w:val="00300377"/>
    <w:rsid w:val="00300D14"/>
    <w:rsid w:val="00303899"/>
    <w:rsid w:val="003066B6"/>
    <w:rsid w:val="00314DEA"/>
    <w:rsid w:val="00332040"/>
    <w:rsid w:val="003413ED"/>
    <w:rsid w:val="00351103"/>
    <w:rsid w:val="00352640"/>
    <w:rsid w:val="003536F3"/>
    <w:rsid w:val="00353EE7"/>
    <w:rsid w:val="00355229"/>
    <w:rsid w:val="00366256"/>
    <w:rsid w:val="00370476"/>
    <w:rsid w:val="00380820"/>
    <w:rsid w:val="00383CD8"/>
    <w:rsid w:val="003B060D"/>
    <w:rsid w:val="003C17BD"/>
    <w:rsid w:val="003C40FD"/>
    <w:rsid w:val="003C7B85"/>
    <w:rsid w:val="003D30B2"/>
    <w:rsid w:val="003E096B"/>
    <w:rsid w:val="003E237C"/>
    <w:rsid w:val="003E66A3"/>
    <w:rsid w:val="003E7441"/>
    <w:rsid w:val="003E7E98"/>
    <w:rsid w:val="003F2BE9"/>
    <w:rsid w:val="003F5900"/>
    <w:rsid w:val="00401F78"/>
    <w:rsid w:val="00404F3A"/>
    <w:rsid w:val="00407501"/>
    <w:rsid w:val="00415416"/>
    <w:rsid w:val="00415ED5"/>
    <w:rsid w:val="00416CA5"/>
    <w:rsid w:val="0042415B"/>
    <w:rsid w:val="00425751"/>
    <w:rsid w:val="0042713F"/>
    <w:rsid w:val="00430C41"/>
    <w:rsid w:val="00431161"/>
    <w:rsid w:val="00436C79"/>
    <w:rsid w:val="0044737F"/>
    <w:rsid w:val="00450A90"/>
    <w:rsid w:val="0045174A"/>
    <w:rsid w:val="00454492"/>
    <w:rsid w:val="00467B4D"/>
    <w:rsid w:val="00482476"/>
    <w:rsid w:val="0048574C"/>
    <w:rsid w:val="00495EC6"/>
    <w:rsid w:val="004A6577"/>
    <w:rsid w:val="004A7283"/>
    <w:rsid w:val="004A774B"/>
    <w:rsid w:val="004C3BD5"/>
    <w:rsid w:val="004D4B61"/>
    <w:rsid w:val="00514735"/>
    <w:rsid w:val="00516B0F"/>
    <w:rsid w:val="00532161"/>
    <w:rsid w:val="0053715F"/>
    <w:rsid w:val="00542173"/>
    <w:rsid w:val="00544C35"/>
    <w:rsid w:val="00550D7B"/>
    <w:rsid w:val="00557E03"/>
    <w:rsid w:val="00562B09"/>
    <w:rsid w:val="00565987"/>
    <w:rsid w:val="00570D47"/>
    <w:rsid w:val="00574EF2"/>
    <w:rsid w:val="00577B14"/>
    <w:rsid w:val="00582209"/>
    <w:rsid w:val="00584B72"/>
    <w:rsid w:val="00586F57"/>
    <w:rsid w:val="00596E9F"/>
    <w:rsid w:val="005A1CDD"/>
    <w:rsid w:val="005A262C"/>
    <w:rsid w:val="005B0577"/>
    <w:rsid w:val="005B5372"/>
    <w:rsid w:val="005C2187"/>
    <w:rsid w:val="005C220A"/>
    <w:rsid w:val="005C5B87"/>
    <w:rsid w:val="005D2121"/>
    <w:rsid w:val="005D27D0"/>
    <w:rsid w:val="005D6D5E"/>
    <w:rsid w:val="005E1DBE"/>
    <w:rsid w:val="005E66C6"/>
    <w:rsid w:val="005F1DCD"/>
    <w:rsid w:val="00600DF2"/>
    <w:rsid w:val="00601B50"/>
    <w:rsid w:val="0060284C"/>
    <w:rsid w:val="00633841"/>
    <w:rsid w:val="00634015"/>
    <w:rsid w:val="00642C39"/>
    <w:rsid w:val="00646F6F"/>
    <w:rsid w:val="006474D5"/>
    <w:rsid w:val="00647E00"/>
    <w:rsid w:val="00655113"/>
    <w:rsid w:val="00657804"/>
    <w:rsid w:val="00666BD8"/>
    <w:rsid w:val="006704AE"/>
    <w:rsid w:val="00672AEA"/>
    <w:rsid w:val="0069039D"/>
    <w:rsid w:val="00693859"/>
    <w:rsid w:val="00694264"/>
    <w:rsid w:val="006A032A"/>
    <w:rsid w:val="006A6554"/>
    <w:rsid w:val="006B17A0"/>
    <w:rsid w:val="006B35AF"/>
    <w:rsid w:val="006B6125"/>
    <w:rsid w:val="006C568B"/>
    <w:rsid w:val="006D36E4"/>
    <w:rsid w:val="006D39F7"/>
    <w:rsid w:val="006E3F7A"/>
    <w:rsid w:val="006F28D7"/>
    <w:rsid w:val="007221FD"/>
    <w:rsid w:val="00722B93"/>
    <w:rsid w:val="00723B66"/>
    <w:rsid w:val="007318DE"/>
    <w:rsid w:val="00736512"/>
    <w:rsid w:val="0074251D"/>
    <w:rsid w:val="00752451"/>
    <w:rsid w:val="00752F7A"/>
    <w:rsid w:val="0075731C"/>
    <w:rsid w:val="0076294D"/>
    <w:rsid w:val="00772BCD"/>
    <w:rsid w:val="00786374"/>
    <w:rsid w:val="00796E8E"/>
    <w:rsid w:val="00797002"/>
    <w:rsid w:val="007A0175"/>
    <w:rsid w:val="007A0E2A"/>
    <w:rsid w:val="007B0E13"/>
    <w:rsid w:val="007B5399"/>
    <w:rsid w:val="007C654F"/>
    <w:rsid w:val="007D2C1D"/>
    <w:rsid w:val="007E28D7"/>
    <w:rsid w:val="007E36F8"/>
    <w:rsid w:val="007F5A22"/>
    <w:rsid w:val="0081526E"/>
    <w:rsid w:val="00831988"/>
    <w:rsid w:val="00842138"/>
    <w:rsid w:val="00847200"/>
    <w:rsid w:val="00860CC8"/>
    <w:rsid w:val="00863DEC"/>
    <w:rsid w:val="00871965"/>
    <w:rsid w:val="0087575E"/>
    <w:rsid w:val="00886A60"/>
    <w:rsid w:val="00891055"/>
    <w:rsid w:val="00892E5A"/>
    <w:rsid w:val="00893638"/>
    <w:rsid w:val="008A1F1B"/>
    <w:rsid w:val="008A4D1E"/>
    <w:rsid w:val="008A75A7"/>
    <w:rsid w:val="008B0535"/>
    <w:rsid w:val="008B1C62"/>
    <w:rsid w:val="008B1F75"/>
    <w:rsid w:val="008D3932"/>
    <w:rsid w:val="008E37D2"/>
    <w:rsid w:val="008E7426"/>
    <w:rsid w:val="008F1230"/>
    <w:rsid w:val="008F5697"/>
    <w:rsid w:val="00905D7A"/>
    <w:rsid w:val="009154FB"/>
    <w:rsid w:val="00915909"/>
    <w:rsid w:val="00915D08"/>
    <w:rsid w:val="00922AD1"/>
    <w:rsid w:val="00930672"/>
    <w:rsid w:val="00935BC1"/>
    <w:rsid w:val="00943723"/>
    <w:rsid w:val="00960E56"/>
    <w:rsid w:val="00962167"/>
    <w:rsid w:val="009640FF"/>
    <w:rsid w:val="00966351"/>
    <w:rsid w:val="00972D28"/>
    <w:rsid w:val="009730E4"/>
    <w:rsid w:val="00976479"/>
    <w:rsid w:val="0098716A"/>
    <w:rsid w:val="009874BC"/>
    <w:rsid w:val="0099011F"/>
    <w:rsid w:val="00990C8B"/>
    <w:rsid w:val="009A3572"/>
    <w:rsid w:val="009A5CC2"/>
    <w:rsid w:val="009B25C2"/>
    <w:rsid w:val="009C10D1"/>
    <w:rsid w:val="009C7F13"/>
    <w:rsid w:val="009E5A38"/>
    <w:rsid w:val="009F2E05"/>
    <w:rsid w:val="00A13C61"/>
    <w:rsid w:val="00A14C6B"/>
    <w:rsid w:val="00A25CFC"/>
    <w:rsid w:val="00A26220"/>
    <w:rsid w:val="00A26644"/>
    <w:rsid w:val="00A266F5"/>
    <w:rsid w:val="00A33786"/>
    <w:rsid w:val="00A34D62"/>
    <w:rsid w:val="00A41ED6"/>
    <w:rsid w:val="00A46E97"/>
    <w:rsid w:val="00A51BB2"/>
    <w:rsid w:val="00A52441"/>
    <w:rsid w:val="00A566E8"/>
    <w:rsid w:val="00A62DE6"/>
    <w:rsid w:val="00A64B80"/>
    <w:rsid w:val="00A66984"/>
    <w:rsid w:val="00A6724A"/>
    <w:rsid w:val="00A759CE"/>
    <w:rsid w:val="00A80366"/>
    <w:rsid w:val="00A87821"/>
    <w:rsid w:val="00AA019E"/>
    <w:rsid w:val="00AA63E5"/>
    <w:rsid w:val="00AC0A9B"/>
    <w:rsid w:val="00AC6A43"/>
    <w:rsid w:val="00AD02CD"/>
    <w:rsid w:val="00AD7F7C"/>
    <w:rsid w:val="00AD7FB5"/>
    <w:rsid w:val="00AD7FB8"/>
    <w:rsid w:val="00AE6B99"/>
    <w:rsid w:val="00AF777E"/>
    <w:rsid w:val="00B106E8"/>
    <w:rsid w:val="00B214F8"/>
    <w:rsid w:val="00B24E1E"/>
    <w:rsid w:val="00B31578"/>
    <w:rsid w:val="00B31C42"/>
    <w:rsid w:val="00B32DD3"/>
    <w:rsid w:val="00B37364"/>
    <w:rsid w:val="00B37DD2"/>
    <w:rsid w:val="00B40A13"/>
    <w:rsid w:val="00B468A2"/>
    <w:rsid w:val="00B51464"/>
    <w:rsid w:val="00B60BEC"/>
    <w:rsid w:val="00B679AC"/>
    <w:rsid w:val="00B7597E"/>
    <w:rsid w:val="00B9441F"/>
    <w:rsid w:val="00B96C93"/>
    <w:rsid w:val="00BA005D"/>
    <w:rsid w:val="00BA4463"/>
    <w:rsid w:val="00BB0B7A"/>
    <w:rsid w:val="00BC3C02"/>
    <w:rsid w:val="00BE5611"/>
    <w:rsid w:val="00BE6210"/>
    <w:rsid w:val="00BF40E0"/>
    <w:rsid w:val="00BF74F2"/>
    <w:rsid w:val="00C03103"/>
    <w:rsid w:val="00C07806"/>
    <w:rsid w:val="00C10BDA"/>
    <w:rsid w:val="00C11D95"/>
    <w:rsid w:val="00C25627"/>
    <w:rsid w:val="00C32C69"/>
    <w:rsid w:val="00C34B8B"/>
    <w:rsid w:val="00C415C6"/>
    <w:rsid w:val="00C56441"/>
    <w:rsid w:val="00C6173D"/>
    <w:rsid w:val="00C6222E"/>
    <w:rsid w:val="00C720B7"/>
    <w:rsid w:val="00C726EB"/>
    <w:rsid w:val="00C82039"/>
    <w:rsid w:val="00C83D02"/>
    <w:rsid w:val="00C87C34"/>
    <w:rsid w:val="00C907C3"/>
    <w:rsid w:val="00C925A2"/>
    <w:rsid w:val="00CB3A30"/>
    <w:rsid w:val="00CC12F5"/>
    <w:rsid w:val="00CC1E75"/>
    <w:rsid w:val="00CC691C"/>
    <w:rsid w:val="00CD124A"/>
    <w:rsid w:val="00CE5011"/>
    <w:rsid w:val="00CE506D"/>
    <w:rsid w:val="00CF2676"/>
    <w:rsid w:val="00CF68DB"/>
    <w:rsid w:val="00D12FF5"/>
    <w:rsid w:val="00D23BD9"/>
    <w:rsid w:val="00D256A1"/>
    <w:rsid w:val="00D3517C"/>
    <w:rsid w:val="00D41522"/>
    <w:rsid w:val="00D434D6"/>
    <w:rsid w:val="00D62F2F"/>
    <w:rsid w:val="00D63CE6"/>
    <w:rsid w:val="00D675E1"/>
    <w:rsid w:val="00D679DC"/>
    <w:rsid w:val="00D73514"/>
    <w:rsid w:val="00D75DE3"/>
    <w:rsid w:val="00D77DDE"/>
    <w:rsid w:val="00D93A0A"/>
    <w:rsid w:val="00DA114A"/>
    <w:rsid w:val="00DA6329"/>
    <w:rsid w:val="00DA7155"/>
    <w:rsid w:val="00DC7FFD"/>
    <w:rsid w:val="00DD3619"/>
    <w:rsid w:val="00DD3DB1"/>
    <w:rsid w:val="00DE43E7"/>
    <w:rsid w:val="00DE4AFE"/>
    <w:rsid w:val="00DE7E6E"/>
    <w:rsid w:val="00DF08DE"/>
    <w:rsid w:val="00E14336"/>
    <w:rsid w:val="00E14721"/>
    <w:rsid w:val="00E31623"/>
    <w:rsid w:val="00E33774"/>
    <w:rsid w:val="00E33FD5"/>
    <w:rsid w:val="00E34B24"/>
    <w:rsid w:val="00E35319"/>
    <w:rsid w:val="00E36BDC"/>
    <w:rsid w:val="00E6025A"/>
    <w:rsid w:val="00E60B42"/>
    <w:rsid w:val="00E616B4"/>
    <w:rsid w:val="00E658C5"/>
    <w:rsid w:val="00E717A2"/>
    <w:rsid w:val="00E80FDD"/>
    <w:rsid w:val="00E955F8"/>
    <w:rsid w:val="00E9565D"/>
    <w:rsid w:val="00E95B6E"/>
    <w:rsid w:val="00E974A8"/>
    <w:rsid w:val="00EA0754"/>
    <w:rsid w:val="00EA2826"/>
    <w:rsid w:val="00EA43F9"/>
    <w:rsid w:val="00EA7162"/>
    <w:rsid w:val="00EB15B0"/>
    <w:rsid w:val="00EB3D13"/>
    <w:rsid w:val="00EB6ECB"/>
    <w:rsid w:val="00EC18BD"/>
    <w:rsid w:val="00EC3BC2"/>
    <w:rsid w:val="00EC679B"/>
    <w:rsid w:val="00EE1C00"/>
    <w:rsid w:val="00EE3CAA"/>
    <w:rsid w:val="00EE56A3"/>
    <w:rsid w:val="00EF601B"/>
    <w:rsid w:val="00F15964"/>
    <w:rsid w:val="00F177FD"/>
    <w:rsid w:val="00F20784"/>
    <w:rsid w:val="00F354AA"/>
    <w:rsid w:val="00F43207"/>
    <w:rsid w:val="00F447BE"/>
    <w:rsid w:val="00F45865"/>
    <w:rsid w:val="00F5421F"/>
    <w:rsid w:val="00F6260A"/>
    <w:rsid w:val="00F62848"/>
    <w:rsid w:val="00F65F2C"/>
    <w:rsid w:val="00F66CFC"/>
    <w:rsid w:val="00F708D4"/>
    <w:rsid w:val="00F74D65"/>
    <w:rsid w:val="00F77BA9"/>
    <w:rsid w:val="00F852A3"/>
    <w:rsid w:val="00F87E1D"/>
    <w:rsid w:val="00F9766B"/>
    <w:rsid w:val="00FA2640"/>
    <w:rsid w:val="00FB09F4"/>
    <w:rsid w:val="00FB4CAA"/>
    <w:rsid w:val="00FC0EE2"/>
    <w:rsid w:val="00FC3FF2"/>
    <w:rsid w:val="00FC4888"/>
    <w:rsid w:val="00FD3961"/>
    <w:rsid w:val="00FE398C"/>
    <w:rsid w:val="00FE475B"/>
    <w:rsid w:val="00FF6EF3"/>
    <w:rsid w:val="01596278"/>
    <w:rsid w:val="01FF05B0"/>
    <w:rsid w:val="031228B1"/>
    <w:rsid w:val="04847570"/>
    <w:rsid w:val="0A2037DA"/>
    <w:rsid w:val="0D9C7FD3"/>
    <w:rsid w:val="0E283076"/>
    <w:rsid w:val="106D0FD1"/>
    <w:rsid w:val="14377D86"/>
    <w:rsid w:val="166158D1"/>
    <w:rsid w:val="1AD46292"/>
    <w:rsid w:val="1C4F0C9B"/>
    <w:rsid w:val="2347066D"/>
    <w:rsid w:val="234863C1"/>
    <w:rsid w:val="24A26144"/>
    <w:rsid w:val="29366156"/>
    <w:rsid w:val="2A703C9F"/>
    <w:rsid w:val="34E03158"/>
    <w:rsid w:val="352F0DFC"/>
    <w:rsid w:val="373C29F8"/>
    <w:rsid w:val="38704314"/>
    <w:rsid w:val="3B7C3B77"/>
    <w:rsid w:val="3C4036DC"/>
    <w:rsid w:val="3E4B7EE3"/>
    <w:rsid w:val="3FB337BE"/>
    <w:rsid w:val="3FFFDD60"/>
    <w:rsid w:val="48F32361"/>
    <w:rsid w:val="494A0E00"/>
    <w:rsid w:val="4CFF70C4"/>
    <w:rsid w:val="52E80BEB"/>
    <w:rsid w:val="55302C55"/>
    <w:rsid w:val="597B7BEF"/>
    <w:rsid w:val="5B673169"/>
    <w:rsid w:val="5D075BDA"/>
    <w:rsid w:val="5E6C2A09"/>
    <w:rsid w:val="60D97EB0"/>
    <w:rsid w:val="643D0718"/>
    <w:rsid w:val="65F25193"/>
    <w:rsid w:val="670009BB"/>
    <w:rsid w:val="67A9053E"/>
    <w:rsid w:val="69B9159D"/>
    <w:rsid w:val="6C797180"/>
    <w:rsid w:val="72882D68"/>
    <w:rsid w:val="72CC459A"/>
    <w:rsid w:val="73652C13"/>
    <w:rsid w:val="78620F7F"/>
    <w:rsid w:val="7E192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B35AF"/>
    <w:rPr>
      <w:sz w:val="18"/>
      <w:szCs w:val="18"/>
    </w:rPr>
  </w:style>
  <w:style w:type="paragraph" w:styleId="a4">
    <w:name w:val="footer"/>
    <w:basedOn w:val="a"/>
    <w:link w:val="Char0"/>
    <w:uiPriority w:val="99"/>
    <w:unhideWhenUsed/>
    <w:qFormat/>
    <w:rsid w:val="006B35A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B35A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B35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6B35AF"/>
    <w:rPr>
      <w:b/>
    </w:rPr>
  </w:style>
  <w:style w:type="character" w:customStyle="1" w:styleId="Char1">
    <w:name w:val="页眉 Char"/>
    <w:basedOn w:val="a0"/>
    <w:link w:val="a5"/>
    <w:uiPriority w:val="99"/>
    <w:semiHidden/>
    <w:qFormat/>
    <w:rsid w:val="006B35AF"/>
    <w:rPr>
      <w:sz w:val="18"/>
      <w:szCs w:val="18"/>
    </w:rPr>
  </w:style>
  <w:style w:type="character" w:customStyle="1" w:styleId="Char0">
    <w:name w:val="页脚 Char"/>
    <w:basedOn w:val="a0"/>
    <w:link w:val="a4"/>
    <w:uiPriority w:val="99"/>
    <w:qFormat/>
    <w:rsid w:val="006B35AF"/>
    <w:rPr>
      <w:sz w:val="18"/>
      <w:szCs w:val="18"/>
    </w:rPr>
  </w:style>
  <w:style w:type="paragraph" w:customStyle="1" w:styleId="1">
    <w:name w:val="列出段落1"/>
    <w:basedOn w:val="a"/>
    <w:uiPriority w:val="34"/>
    <w:qFormat/>
    <w:rsid w:val="006B35AF"/>
    <w:pPr>
      <w:ind w:firstLineChars="200" w:firstLine="420"/>
    </w:pPr>
  </w:style>
  <w:style w:type="character" w:customStyle="1" w:styleId="Char">
    <w:name w:val="批注框文本 Char"/>
    <w:basedOn w:val="a0"/>
    <w:link w:val="a3"/>
    <w:uiPriority w:val="99"/>
    <w:semiHidden/>
    <w:qFormat/>
    <w:rsid w:val="006B35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1958</Words>
  <Characters>11165</Characters>
  <Application>Microsoft Office Word</Application>
  <DocSecurity>0</DocSecurity>
  <Lines>93</Lines>
  <Paragraphs>26</Paragraphs>
  <ScaleCrop>false</ScaleCrop>
  <Company>Microsoft</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刘海</dc:creator>
  <cp:lastModifiedBy>User</cp:lastModifiedBy>
  <cp:revision>4</cp:revision>
  <cp:lastPrinted>2021-02-07T15:09:00Z</cp:lastPrinted>
  <dcterms:created xsi:type="dcterms:W3CDTF">2023-02-09T15:10:00Z</dcterms:created>
  <dcterms:modified xsi:type="dcterms:W3CDTF">2023-07-14T03:06:00Z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7A83B8FB721D47CBBFA376531D257072</vt:lpwstr>
  </property>
</Properties>
</file>